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580"/>
        <w:gridCol w:w="5257"/>
        <w:gridCol w:w="268"/>
        <w:gridCol w:w="193"/>
        <w:gridCol w:w="415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1199567" w:rsidR="00093CA9" w:rsidRDefault="00484B8B" w:rsidP="00093CA9">
            <w:r>
              <w:t>JSA Advocates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47DA217" w:rsidR="00093CA9" w:rsidRDefault="00103C53" w:rsidP="00093CA9">
            <w:r w:rsidRPr="00103C53">
              <w:t>Renewable Purchase Obligations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09D86DCD" w14:textId="77777777" w:rsidR="00093CA9" w:rsidRDefault="00863792" w:rsidP="00863792">
            <w:pPr>
              <w:pStyle w:val="ListParagraph"/>
              <w:numPr>
                <w:ilvl w:val="0"/>
                <w:numId w:val="64"/>
              </w:numPr>
            </w:pPr>
            <w:hyperlink r:id="rId17" w:history="1">
              <w:r w:rsidRPr="000577A0">
                <w:rPr>
                  <w:rStyle w:val="Hyperlink"/>
                </w:rPr>
                <w:t>https://web.archive.org/web/20250708162550/https://cercind.gov.in/2018/whatsnew/Tariff_Policy-Resolution_Dated_28012016.pdf</w:t>
              </w:r>
            </w:hyperlink>
            <w:r>
              <w:t xml:space="preserve"> </w:t>
            </w:r>
          </w:p>
          <w:p w14:paraId="2FADE0C4" w14:textId="77777777" w:rsidR="00863792" w:rsidRDefault="00191EA0" w:rsidP="00863792">
            <w:pPr>
              <w:pStyle w:val="ListParagraph"/>
              <w:numPr>
                <w:ilvl w:val="0"/>
                <w:numId w:val="64"/>
              </w:numPr>
            </w:pPr>
            <w:hyperlink r:id="rId18" w:history="1">
              <w:r w:rsidRPr="000577A0">
                <w:rPr>
                  <w:rStyle w:val="Hyperlink"/>
                </w:rPr>
                <w:t>https://web.archive.org/web/20250708162930/https://www.recregistryindia.nic.in/pdf/REC_Regulation/Renewable_Purchase_Obligation_and_Energy_Storage_Obligation_Trajectory_till_2029_30.pdf</w:t>
              </w:r>
            </w:hyperlink>
            <w:r>
              <w:t xml:space="preserve"> </w:t>
            </w:r>
          </w:p>
          <w:p w14:paraId="1523C232" w14:textId="707DC06B" w:rsidR="00191EA0" w:rsidRDefault="008E1A5B" w:rsidP="00863792">
            <w:pPr>
              <w:pStyle w:val="ListParagraph"/>
              <w:numPr>
                <w:ilvl w:val="0"/>
                <w:numId w:val="64"/>
              </w:numPr>
            </w:pPr>
            <w:hyperlink r:id="rId19" w:history="1">
              <w:r w:rsidRPr="000577A0">
                <w:rPr>
                  <w:rStyle w:val="Hyperlink"/>
                </w:rPr>
                <w:t>https://web.archive.org/web/20250708163127/https://beeindia.gov.in/en/programmes/renewable-consumption-obligations-rco</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0A84D261" w:rsidR="00093CA9" w:rsidRDefault="00103C53"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6C0B59E7" w:rsidR="00093CA9" w:rsidRDefault="00103C53"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2487967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1D328F58" w:rsidR="00093CA9" w:rsidRDefault="004B4B0E" w:rsidP="005F2B38">
            <w:pPr>
              <w:jc w:val="both"/>
            </w:pPr>
            <w:r w:rsidRPr="004B4B0E">
              <w:t>The Renewable Purchase Obligation (RPO) framework, governed by the Electricity Act, 2003, empowers State Electricity Regulatory Commissions (SERCs) to mandate that a specified minimum percentage of total electricity consumption within a state be sourced from renewable energy [Section 86(1)(e), Electricity Act, 2003]. RPOs function as a statutory instrument to facilitate the energy transition by legally requiring obligated entities—primarily state distribution licensees—to procure a defined quantum of electricity from renewable sources. The RPO mechanism thereby acts both as a transition policy and a public procurement mandate, aimed at decarbonising the grid, promoting investment in renewable energy, and ensuring affordable electricity supply in the public interest.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766CB69" w:rsidR="00093CA9" w:rsidRDefault="0023279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44C90E7" w:rsidR="00093CA9" w:rsidRPr="006B7B0D" w:rsidRDefault="004D0A12" w:rsidP="005F2B38">
            <w:pPr>
              <w:keepNext/>
              <w:spacing w:after="0" w:line="276" w:lineRule="auto"/>
            </w:pPr>
            <w:r w:rsidRPr="00910867">
              <w:t>Central Electricity Regulatory Commission (CERC)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4DB69C9" w:rsidR="00093CA9" w:rsidRPr="006B7B0D" w:rsidRDefault="005D491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824A4E8" w:rsidR="00093CA9" w:rsidRPr="006B7B0D" w:rsidRDefault="005D4912" w:rsidP="00093CA9">
            <w:r w:rsidRPr="00910867">
              <w:t>State Electricity Regulatory Commissions (SERCs)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65EFC4A3" w:rsidR="00093CA9" w:rsidRPr="006B7B0D" w:rsidRDefault="005D4912"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E95D87E" w:rsidR="00093CA9" w:rsidRPr="006B7B0D" w:rsidRDefault="00D10556" w:rsidP="00093CA9">
            <w:r>
              <w:t>NA</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49959F28" w:rsidR="00093CA9" w:rsidRPr="006B7B0D" w:rsidRDefault="00D10556" w:rsidP="00093CA9">
            <w:r>
              <w:t>NA</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4D615F9C" w:rsidR="00093CA9" w:rsidRPr="006B7B0D" w:rsidRDefault="00D10556" w:rsidP="00093CA9">
            <w:r>
              <w:t>NA</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lastRenderedPageBreak/>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3A61E3B1" w14:textId="11262FB3" w:rsidR="00E74971" w:rsidRPr="00E74971" w:rsidRDefault="00E74971" w:rsidP="00E74971">
            <w:pPr>
              <w:jc w:val="both"/>
              <w:rPr>
                <w:lang w:val="en-IN"/>
              </w:rPr>
            </w:pPr>
            <w:r w:rsidRPr="00E74971">
              <w:rPr>
                <w:lang w:val="en-IN"/>
              </w:rPr>
              <w:t>The implementation and enforcement of RPOs are primarily overseen by SERCs, which are empowered under [Section 86(1)(e) of the Electricity Act, 2003] to specify RPO targets for obligated entities, including distribution licensees, open access consumers, and captive users. SERCs are also authorised to monitor compliance and impose penalties for shortfall or default.</w:t>
            </w:r>
          </w:p>
          <w:p w14:paraId="42D06D03" w14:textId="2D27F24E" w:rsidR="00093CA9" w:rsidRPr="00E74971" w:rsidRDefault="00E74971" w:rsidP="00BC28C8">
            <w:pPr>
              <w:jc w:val="both"/>
              <w:rPr>
                <w:lang w:val="en-IN"/>
              </w:rPr>
            </w:pPr>
            <w:r w:rsidRPr="00E74971">
              <w:rPr>
                <w:lang w:val="en-IN"/>
              </w:rPr>
              <w:t>At the central level, the CERC</w:t>
            </w:r>
            <w:r w:rsidR="00F65A0C">
              <w:rPr>
                <w:lang w:val="en-IN"/>
              </w:rPr>
              <w:t xml:space="preserve"> </w:t>
            </w:r>
            <w:r w:rsidRPr="00E74971">
              <w:rPr>
                <w:lang w:val="en-IN"/>
              </w:rPr>
              <w:t>performs a limited oversight role, primarily by notifying RPO targets applicable to entities under its jurisdiction and facilitating the Renewable Energy Certificate (REC) mechanism under the CERC (Terms and Conditions for Renewable Energy Certificates for Renewable Energy Generation) Regulations, 2022.</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0A1CF74A" w:rsidR="00093CA9" w:rsidRDefault="008659E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0E8EEB80" w14:textId="1ACFF40C" w:rsidR="008659E5" w:rsidRPr="008659E5" w:rsidRDefault="008659E5" w:rsidP="008659E5">
            <w:pPr>
              <w:keepNext/>
              <w:jc w:val="both"/>
              <w:rPr>
                <w:color w:val="000000" w:themeColor="text1"/>
                <w:lang w:val="en-IN"/>
              </w:rPr>
            </w:pPr>
            <w:r>
              <w:rPr>
                <w:color w:val="000000" w:themeColor="text1"/>
                <w:lang w:val="en-IN"/>
              </w:rPr>
              <w:t>T</w:t>
            </w:r>
            <w:r w:rsidRPr="008659E5">
              <w:rPr>
                <w:color w:val="000000" w:themeColor="text1"/>
                <w:lang w:val="en-IN"/>
              </w:rPr>
              <w:t>he RPO framework incorporates monitoring systems at both the state and central levels.</w:t>
            </w:r>
          </w:p>
          <w:p w14:paraId="75F6FE9B" w14:textId="2739A2C1" w:rsidR="008659E5" w:rsidRPr="008659E5" w:rsidRDefault="008659E5" w:rsidP="008659E5">
            <w:pPr>
              <w:pStyle w:val="ListParagraph"/>
              <w:keepNext/>
              <w:numPr>
                <w:ilvl w:val="0"/>
                <w:numId w:val="62"/>
              </w:numPr>
              <w:jc w:val="both"/>
              <w:rPr>
                <w:color w:val="000000" w:themeColor="text1"/>
                <w:lang w:val="en-IN"/>
              </w:rPr>
            </w:pPr>
            <w:r w:rsidRPr="008659E5">
              <w:rPr>
                <w:color w:val="000000" w:themeColor="text1"/>
                <w:lang w:val="en-IN"/>
              </w:rPr>
              <w:t>State-Level Monitoring: Under Section 86(1)(e) of the Electricity Act, 2003, SERCs</w:t>
            </w:r>
            <w:r w:rsidR="00E92DE0">
              <w:rPr>
                <w:color w:val="000000" w:themeColor="text1"/>
                <w:lang w:val="en-IN"/>
              </w:rPr>
              <w:t xml:space="preserve"> </w:t>
            </w:r>
            <w:r w:rsidRPr="008659E5">
              <w:rPr>
                <w:color w:val="000000" w:themeColor="text1"/>
                <w:lang w:val="en-IN"/>
              </w:rPr>
              <w:t>are empowered to monitor compliance by obligated entities. Most SERCs require distribution licensees and other obligated entities to submit periodic compliance reports, often on a quarterly or annual basis. These reports disclose the quantum of renewable energy procured and the shortfall, if any.</w:t>
            </w:r>
          </w:p>
          <w:p w14:paraId="2C2128DB" w14:textId="55D5C02F" w:rsidR="00093CA9" w:rsidRPr="008659E5" w:rsidRDefault="008659E5" w:rsidP="008659E5">
            <w:pPr>
              <w:pStyle w:val="ListParagraph"/>
              <w:keepNext/>
              <w:numPr>
                <w:ilvl w:val="0"/>
                <w:numId w:val="62"/>
              </w:numPr>
              <w:jc w:val="both"/>
              <w:rPr>
                <w:color w:val="000000" w:themeColor="text1"/>
                <w:lang w:val="en-IN"/>
              </w:rPr>
            </w:pPr>
            <w:r w:rsidRPr="008659E5">
              <w:rPr>
                <w:color w:val="000000" w:themeColor="text1"/>
                <w:lang w:val="en-IN"/>
              </w:rPr>
              <w:t>Central-Level Oversight: The Central Electricity Authority (CEA) publishes national-level data on RPO compliance, typically as part of its annual reports and dashboards. Additionally, the REC registry maintained by the National Load Despatch Centre (NLDC) serves as a publicly accessible platform to track REC trading and redemption, indirectly supporting RPO monitoring.</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4B4B0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623"/>
        <w:gridCol w:w="4090"/>
        <w:gridCol w:w="457"/>
        <w:gridCol w:w="1546"/>
        <w:gridCol w:w="1841"/>
        <w:gridCol w:w="190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67D77651"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433DFB00" w:rsidR="00C4670C" w:rsidRPr="00C37D48" w:rsidRDefault="00DD1E0A"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4834B7AE"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4C6905C4" w:rsidR="00C4670C" w:rsidRPr="00C37D48" w:rsidRDefault="00DD1E0A"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DC37D5C" w:rsidR="00C4670C" w:rsidRPr="00C37D48" w:rsidRDefault="00A2281D"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35F323D1"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52878844" w:rsidR="00C4670C" w:rsidRPr="00C37D48" w:rsidRDefault="00DD1E0A"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4F63596"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5B8E6802" w:rsidR="00C4670C" w:rsidRPr="00C37D48" w:rsidRDefault="00DD1E0A"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6A21682C" w:rsidR="00C4670C" w:rsidRPr="00C37D48" w:rsidRDefault="00A2281D"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5B599F3"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0011066" w:rsidR="00C4670C" w:rsidRPr="00C37D48" w:rsidRDefault="002605CC"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420C1C9F"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469CF60A" w:rsidR="00C4670C" w:rsidRPr="00C37D48" w:rsidRDefault="00DD1E0A"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34F7DEF9"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DB35DF6" w:rsidR="00C4670C" w:rsidRPr="00C37D48" w:rsidRDefault="00DD1E0A"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AA7EB8F"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128D6CE3" w:rsidR="00C4670C" w:rsidRPr="00C37D48" w:rsidRDefault="00DD1E0A"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6E840F9" w:rsidR="00C4670C" w:rsidRPr="00C37D48" w:rsidRDefault="002605CC"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6194EAE" w:rsidR="00C4670C" w:rsidRPr="00C37D48" w:rsidRDefault="002605CC"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1BBEF825" w:rsidR="00C4670C" w:rsidRPr="00C37D48" w:rsidRDefault="00DD1E0A"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F4CD65C"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6B8D549B" w14:textId="2B75054A" w:rsidR="00B85050" w:rsidRPr="00B85050" w:rsidRDefault="00B85050" w:rsidP="00B85050">
            <w:pPr>
              <w:jc w:val="both"/>
              <w:rPr>
                <w:rFonts w:ascii="Calibri" w:hAnsi="Calibri" w:cs="Calibri"/>
              </w:rPr>
            </w:pPr>
            <w:r w:rsidRPr="00B85050">
              <w:rPr>
                <w:rFonts w:ascii="Calibri" w:hAnsi="Calibri" w:cs="Calibri"/>
              </w:rPr>
              <w:t>Obligated entities under the RPO framework, as mandated by the Electricity Act, 2003 and regulated by the CERC/SERCs, include:</w:t>
            </w:r>
          </w:p>
          <w:p w14:paraId="489C4169" w14:textId="144CEE7E" w:rsidR="00B85050" w:rsidRPr="00B85050" w:rsidRDefault="00B85050" w:rsidP="00B85050">
            <w:pPr>
              <w:pStyle w:val="ListParagraph"/>
              <w:numPr>
                <w:ilvl w:val="0"/>
                <w:numId w:val="65"/>
              </w:numPr>
              <w:jc w:val="both"/>
              <w:rPr>
                <w:rFonts w:ascii="Calibri" w:hAnsi="Calibri" w:cs="Calibri"/>
              </w:rPr>
            </w:pPr>
            <w:r w:rsidRPr="00B85050">
              <w:rPr>
                <w:rFonts w:ascii="Calibri" w:hAnsi="Calibri" w:cs="Calibri"/>
              </w:rPr>
              <w:t xml:space="preserve">Distribution Licensees: Power distribution companies (DISCOMs) licensed to supply electricity to end </w:t>
            </w:r>
            <w:proofErr w:type="gramStart"/>
            <w:r w:rsidRPr="00B85050">
              <w:rPr>
                <w:rFonts w:ascii="Calibri" w:hAnsi="Calibri" w:cs="Calibri"/>
              </w:rPr>
              <w:t>consumers;</w:t>
            </w:r>
            <w:proofErr w:type="gramEnd"/>
          </w:p>
          <w:p w14:paraId="0DE93B8B" w14:textId="42983886" w:rsidR="00B85050" w:rsidRPr="00B85050" w:rsidRDefault="00B85050" w:rsidP="00B85050">
            <w:pPr>
              <w:pStyle w:val="ListParagraph"/>
              <w:numPr>
                <w:ilvl w:val="0"/>
                <w:numId w:val="65"/>
              </w:numPr>
              <w:jc w:val="both"/>
              <w:rPr>
                <w:rFonts w:ascii="Calibri" w:hAnsi="Calibri" w:cs="Calibri"/>
              </w:rPr>
            </w:pPr>
            <w:r w:rsidRPr="00B85050">
              <w:rPr>
                <w:rFonts w:ascii="Calibri" w:hAnsi="Calibri" w:cs="Calibri"/>
              </w:rPr>
              <w:t xml:space="preserve">Open Access Consumers: Entities availing open access to procure electricity through power exchanges (e.g., IEX, PXIL), traders, or bilateral arrangements, typically with a contract demand of 1 MVA or more, as defined by the relevant </w:t>
            </w:r>
            <w:proofErr w:type="gramStart"/>
            <w:r w:rsidRPr="00B85050">
              <w:rPr>
                <w:rFonts w:ascii="Calibri" w:hAnsi="Calibri" w:cs="Calibri"/>
              </w:rPr>
              <w:t>SERC;</w:t>
            </w:r>
            <w:proofErr w:type="gramEnd"/>
          </w:p>
          <w:p w14:paraId="28FA68F6" w14:textId="56262DA7" w:rsidR="004F276F" w:rsidRPr="00B85050" w:rsidRDefault="00B85050" w:rsidP="005F2B38">
            <w:pPr>
              <w:pStyle w:val="ListParagraph"/>
              <w:numPr>
                <w:ilvl w:val="0"/>
                <w:numId w:val="65"/>
              </w:numPr>
              <w:jc w:val="both"/>
              <w:rPr>
                <w:rFonts w:ascii="Calibri" w:hAnsi="Calibri" w:cs="Calibri"/>
                <w:lang w:val="en-IN"/>
              </w:rPr>
            </w:pPr>
            <w:r w:rsidRPr="00B85050">
              <w:rPr>
                <w:rFonts w:ascii="Calibri" w:hAnsi="Calibri" w:cs="Calibri"/>
              </w:rPr>
              <w:t>Captive Consumers: Industrial or commercial entities operating grid-connected captive generating plants—usually fossil fuel-based—with an installed capacity of 1 MW or above, or as specified by the applicable SERC.</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6A4957C8" w:rsidR="004F276F" w:rsidRPr="00C37D48" w:rsidRDefault="000C79E8" w:rsidP="000C79E8">
            <w:pPr>
              <w:jc w:val="both"/>
              <w:rPr>
                <w:rFonts w:ascii="Calibri" w:hAnsi="Calibri" w:cs="Calibri"/>
              </w:rPr>
            </w:pPr>
            <w:r w:rsidRPr="000C79E8">
              <w:rPr>
                <w:rFonts w:ascii="Calibri" w:hAnsi="Calibri" w:cs="Calibri"/>
              </w:rPr>
              <w:t xml:space="preserve">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4B4B0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4B04085A" w:rsidR="004F276F" w:rsidRPr="00C37D48" w:rsidRDefault="004F276F" w:rsidP="005F2B38">
            <w:pPr>
              <w:jc w:val="both"/>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03DE02DC" w:rsidR="004F276F" w:rsidRPr="00C37D48" w:rsidRDefault="00114547"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231FC371" w:rsidR="004F276F" w:rsidRPr="00C37D48" w:rsidRDefault="00FB7BEA"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310D29D4" w:rsidR="004F276F" w:rsidRPr="00C37D48" w:rsidRDefault="00FB7BEA"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4E1E1BAF" w14:textId="3927EB8E" w:rsidR="004636D6" w:rsidRPr="004636D6" w:rsidRDefault="004636D6" w:rsidP="004636D6">
            <w:pPr>
              <w:jc w:val="both"/>
              <w:rPr>
                <w:rFonts w:ascii="Calibri" w:hAnsi="Calibri" w:cs="Calibri"/>
                <w:lang w:val="en-IN"/>
              </w:rPr>
            </w:pPr>
            <w:r w:rsidRPr="004636D6">
              <w:rPr>
                <w:rFonts w:ascii="Calibri" w:hAnsi="Calibri" w:cs="Calibri"/>
                <w:lang w:val="en-IN"/>
              </w:rPr>
              <w:t>Non-compliance with RPO may attract penal and remedial measures under both statutory and regulatory provisions:</w:t>
            </w:r>
          </w:p>
          <w:p w14:paraId="7A456795" w14:textId="61C4DBF9" w:rsidR="004636D6" w:rsidRPr="00541649" w:rsidRDefault="004636D6" w:rsidP="00541649">
            <w:pPr>
              <w:pStyle w:val="ListParagraph"/>
              <w:numPr>
                <w:ilvl w:val="0"/>
                <w:numId w:val="66"/>
              </w:numPr>
              <w:jc w:val="both"/>
              <w:rPr>
                <w:rFonts w:ascii="Calibri" w:hAnsi="Calibri" w:cs="Calibri"/>
                <w:lang w:val="en-IN"/>
              </w:rPr>
            </w:pPr>
            <w:r w:rsidRPr="00541649">
              <w:rPr>
                <w:rFonts w:ascii="Calibri" w:hAnsi="Calibri" w:cs="Calibri"/>
                <w:lang w:val="en-IN"/>
              </w:rPr>
              <w:t>Statutory Penalties: Under Section 142 of the Electricity Act, 2003, a SERC may impose a penalty of up to ₹1,00,000 for each instance of non-compliance, and a further penalty of ₹6,000 for each day the contravention continues.</w:t>
            </w:r>
          </w:p>
          <w:p w14:paraId="492151F5" w14:textId="77777777" w:rsidR="004636D6" w:rsidRPr="00541649" w:rsidRDefault="004636D6" w:rsidP="00541649">
            <w:pPr>
              <w:pStyle w:val="ListParagraph"/>
              <w:numPr>
                <w:ilvl w:val="0"/>
                <w:numId w:val="66"/>
              </w:numPr>
              <w:jc w:val="both"/>
              <w:rPr>
                <w:rFonts w:ascii="Calibri" w:hAnsi="Calibri" w:cs="Calibri"/>
                <w:lang w:val="en-IN"/>
              </w:rPr>
            </w:pPr>
            <w:r w:rsidRPr="00541649">
              <w:rPr>
                <w:rFonts w:ascii="Calibri" w:hAnsi="Calibri" w:cs="Calibri"/>
                <w:lang w:val="en-IN"/>
              </w:rPr>
              <w:t>Regulatory Measures: SERCs may also adopt the following measures through their RPO regulations and enforcement proceedings:</w:t>
            </w:r>
          </w:p>
          <w:p w14:paraId="4AA97776" w14:textId="25A982DB" w:rsidR="004636D6" w:rsidRPr="004636D6" w:rsidRDefault="004636D6" w:rsidP="00541649">
            <w:pPr>
              <w:ind w:left="360"/>
              <w:jc w:val="both"/>
              <w:rPr>
                <w:rFonts w:ascii="Calibri" w:hAnsi="Calibri" w:cs="Calibri"/>
                <w:lang w:val="en-IN"/>
              </w:rPr>
            </w:pPr>
            <w:r w:rsidRPr="004636D6">
              <w:rPr>
                <w:rFonts w:ascii="Calibri" w:hAnsi="Calibri" w:cs="Calibri"/>
                <w:lang w:val="en-IN"/>
              </w:rPr>
              <w:t xml:space="preserve">(a) Direct defaulting entities to purchase RECs to address RPO </w:t>
            </w:r>
            <w:proofErr w:type="gramStart"/>
            <w:r w:rsidRPr="004636D6">
              <w:rPr>
                <w:rFonts w:ascii="Calibri" w:hAnsi="Calibri" w:cs="Calibri"/>
                <w:lang w:val="en-IN"/>
              </w:rPr>
              <w:t>shortfalls;</w:t>
            </w:r>
            <w:proofErr w:type="gramEnd"/>
          </w:p>
          <w:p w14:paraId="00000376" w14:textId="77777777" w:rsidR="004636D6" w:rsidRPr="004636D6" w:rsidRDefault="004636D6" w:rsidP="00541649">
            <w:pPr>
              <w:ind w:left="360"/>
              <w:jc w:val="both"/>
              <w:rPr>
                <w:rFonts w:ascii="Calibri" w:hAnsi="Calibri" w:cs="Calibri"/>
                <w:lang w:val="en-IN"/>
              </w:rPr>
            </w:pPr>
            <w:r w:rsidRPr="004636D6">
              <w:rPr>
                <w:rFonts w:ascii="Calibri" w:hAnsi="Calibri" w:cs="Calibri"/>
                <w:lang w:val="en-IN"/>
              </w:rPr>
              <w:t xml:space="preserve">(b) Impose carrying costs or interest on unmet RPO </w:t>
            </w:r>
            <w:proofErr w:type="gramStart"/>
            <w:r w:rsidRPr="004636D6">
              <w:rPr>
                <w:rFonts w:ascii="Calibri" w:hAnsi="Calibri" w:cs="Calibri"/>
                <w:lang w:val="en-IN"/>
              </w:rPr>
              <w:t>targets;</w:t>
            </w:r>
            <w:proofErr w:type="gramEnd"/>
          </w:p>
          <w:p w14:paraId="643668F7" w14:textId="33AFFBC2" w:rsidR="00711F61" w:rsidRPr="004636D6" w:rsidRDefault="004636D6" w:rsidP="00541649">
            <w:pPr>
              <w:ind w:left="360"/>
              <w:jc w:val="both"/>
              <w:rPr>
                <w:rFonts w:ascii="Calibri" w:hAnsi="Calibri" w:cs="Calibri"/>
                <w:lang w:val="en-IN"/>
              </w:rPr>
            </w:pPr>
            <w:r w:rsidRPr="004636D6">
              <w:rPr>
                <w:rFonts w:ascii="Calibri" w:hAnsi="Calibri" w:cs="Calibri"/>
                <w:lang w:val="en-IN"/>
              </w:rPr>
              <w:t>(c) Record and publish instances of</w:t>
            </w:r>
            <w:r w:rsidR="00E411F2" w:rsidRPr="00E411F2">
              <w:rPr>
                <w:rFonts w:ascii="Calibri" w:hAnsi="Calibri" w:cs="Calibri"/>
                <w:lang w:val="en-IN"/>
              </w:rPr>
              <w:t xml:space="preserve"> non-compliance in regulatory orders</w:t>
            </w:r>
            <w:r w:rsidRPr="004636D6">
              <w:rPr>
                <w:rFonts w:ascii="Calibri" w:hAnsi="Calibri" w:cs="Calibri"/>
                <w:lang w:val="en-IN"/>
              </w:rPr>
              <w:t>, including naming defaulting licensees or entities</w:t>
            </w:r>
            <w:r w:rsidR="00E411F2" w:rsidRPr="00E411F2">
              <w:rPr>
                <w:rFonts w:ascii="Calibri" w:hAnsi="Calibri" w:cs="Calibri"/>
                <w:lang w:val="en-IN"/>
              </w:rPr>
              <w:t xml:space="preserve"> (e.g</w:t>
            </w:r>
            <w:r w:rsidRPr="004636D6">
              <w:rPr>
                <w:rFonts w:ascii="Calibri" w:hAnsi="Calibri" w:cs="Calibri"/>
                <w:lang w:val="en-IN"/>
              </w:rPr>
              <w:t>., in orders issued by</w:t>
            </w:r>
            <w:r w:rsidR="00E411F2" w:rsidRPr="00E411F2">
              <w:rPr>
                <w:rFonts w:ascii="Calibri" w:hAnsi="Calibri" w:cs="Calibri"/>
                <w:lang w:val="en-IN"/>
              </w:rPr>
              <w:t xml:space="preserve"> DERC, MERC).</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16D81C7A" w:rsidR="001F30DE" w:rsidRPr="00C37D48" w:rsidRDefault="00334A4E"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278E8799" w14:textId="77777777" w:rsidR="00FC6F17" w:rsidRPr="00FC6F17" w:rsidRDefault="00FC6F17" w:rsidP="00FC6F17">
            <w:pPr>
              <w:jc w:val="both"/>
              <w:rPr>
                <w:rFonts w:ascii="Calibri" w:hAnsi="Calibri" w:cs="Calibri"/>
                <w:lang w:val="en-IN"/>
              </w:rPr>
            </w:pPr>
            <w:r w:rsidRPr="00FC6F17">
              <w:rPr>
                <w:rFonts w:ascii="Calibri" w:hAnsi="Calibri" w:cs="Calibri"/>
                <w:lang w:val="en-IN"/>
              </w:rPr>
              <w:t>Yes, RPO obligations have been enforced by several State Electricity Regulatory Commissions (SERCs). Regulatory orders have directed obligated entities—particularly DISCOMs and large captive/open access consumers—to make up RPO shortfalls through procurement of Renewable Energy or Renewable Energy Certificates (RECs). SERCs have exercised powers under the [Electricity Act, 2003] to impose penalties, allow carry-forward with conditions, or mandate compliance-linked tariff recoveries.</w:t>
            </w:r>
          </w:p>
          <w:p w14:paraId="21F4C516" w14:textId="77777777" w:rsidR="00FC6F17" w:rsidRPr="00FC6F17" w:rsidRDefault="00FC6F17" w:rsidP="00FC6F17">
            <w:pPr>
              <w:jc w:val="both"/>
              <w:rPr>
                <w:rFonts w:ascii="Calibri" w:hAnsi="Calibri" w:cs="Calibri"/>
                <w:lang w:val="en-IN"/>
              </w:rPr>
            </w:pPr>
            <w:r w:rsidRPr="00FC6F17">
              <w:rPr>
                <w:rFonts w:ascii="Calibri" w:hAnsi="Calibri" w:cs="Calibri"/>
                <w:lang w:val="en-IN"/>
              </w:rPr>
              <w:t>For instance:</w:t>
            </w:r>
          </w:p>
          <w:p w14:paraId="4639A1ED" w14:textId="77777777" w:rsidR="00FC6F17" w:rsidRPr="00FC6F17" w:rsidRDefault="00FC6F17" w:rsidP="00FC6F17">
            <w:pPr>
              <w:numPr>
                <w:ilvl w:val="0"/>
                <w:numId w:val="67"/>
              </w:numPr>
              <w:tabs>
                <w:tab w:val="num" w:pos="720"/>
              </w:tabs>
              <w:jc w:val="both"/>
              <w:rPr>
                <w:rFonts w:ascii="Calibri" w:hAnsi="Calibri" w:cs="Calibri"/>
                <w:lang w:val="en-IN"/>
              </w:rPr>
            </w:pPr>
            <w:r w:rsidRPr="00FC6F17">
              <w:rPr>
                <w:rFonts w:ascii="Calibri" w:hAnsi="Calibri" w:cs="Calibri"/>
                <w:lang w:val="en-IN"/>
              </w:rPr>
              <w:t>Delhi Electricity Regulatory Commission (DERC) has required DISCOMs to meet RPO deficits through REC purchases in tariff orders.</w:t>
            </w:r>
          </w:p>
          <w:p w14:paraId="2C05DF22" w14:textId="77777777" w:rsidR="00FC6F17" w:rsidRPr="00FC6F17" w:rsidRDefault="00FC6F17" w:rsidP="00FC6F17">
            <w:pPr>
              <w:numPr>
                <w:ilvl w:val="0"/>
                <w:numId w:val="67"/>
              </w:numPr>
              <w:tabs>
                <w:tab w:val="num" w:pos="720"/>
              </w:tabs>
              <w:jc w:val="both"/>
              <w:rPr>
                <w:rFonts w:ascii="Calibri" w:hAnsi="Calibri" w:cs="Calibri"/>
                <w:lang w:val="en-IN"/>
              </w:rPr>
            </w:pPr>
            <w:r w:rsidRPr="00FC6F17">
              <w:rPr>
                <w:rFonts w:ascii="Calibri" w:hAnsi="Calibri" w:cs="Calibri"/>
                <w:lang w:val="en-IN"/>
              </w:rPr>
              <w:t>Maharashtra Electricity Regulatory Commission (MERC) has directed obligated entities to ensure future compliance and allowed cost pass-through for REC procurement.</w:t>
            </w:r>
          </w:p>
          <w:p w14:paraId="199F4BA0" w14:textId="77777777" w:rsidR="001F30DE" w:rsidRDefault="00712981" w:rsidP="005F2B38">
            <w:pPr>
              <w:jc w:val="both"/>
              <w:rPr>
                <w:rFonts w:ascii="Calibri" w:hAnsi="Calibri" w:cs="Calibri"/>
                <w:lang w:val="en-IN"/>
              </w:rPr>
            </w:pPr>
            <w:r>
              <w:rPr>
                <w:rFonts w:ascii="Calibri" w:hAnsi="Calibri" w:cs="Calibri"/>
                <w:lang w:val="en-IN"/>
              </w:rPr>
              <w:t>Link-</w:t>
            </w:r>
          </w:p>
          <w:p w14:paraId="044087E9" w14:textId="77777777" w:rsidR="00712981" w:rsidRDefault="00712981" w:rsidP="00712981">
            <w:pPr>
              <w:pStyle w:val="ListParagraph"/>
              <w:numPr>
                <w:ilvl w:val="0"/>
                <w:numId w:val="68"/>
              </w:numPr>
              <w:jc w:val="both"/>
              <w:rPr>
                <w:rFonts w:ascii="Calibri" w:hAnsi="Calibri" w:cs="Calibri"/>
                <w:lang w:val="en-IN"/>
              </w:rPr>
            </w:pPr>
            <w:hyperlink r:id="rId20" w:history="1">
              <w:r w:rsidRPr="007222DD">
                <w:rPr>
                  <w:rStyle w:val="Hyperlink"/>
                  <w:rFonts w:ascii="Calibri" w:hAnsi="Calibri" w:cs="Calibri"/>
                  <w:lang w:val="en-IN"/>
                </w:rPr>
                <w:t>https://web.archive.org/web/20250708165113/https://www.derc.gov.in/sites/default/files/Order%20Petition%20No.%2021_2020%20-%2027.09.2021_1.pdf</w:t>
              </w:r>
            </w:hyperlink>
            <w:r>
              <w:rPr>
                <w:rFonts w:ascii="Calibri" w:hAnsi="Calibri" w:cs="Calibri"/>
                <w:lang w:val="en-IN"/>
              </w:rPr>
              <w:t xml:space="preserve"> </w:t>
            </w:r>
          </w:p>
          <w:p w14:paraId="0CD89C5A" w14:textId="75936BB9" w:rsidR="00712981" w:rsidRPr="00712981" w:rsidRDefault="001D7565" w:rsidP="00712981">
            <w:pPr>
              <w:pStyle w:val="ListParagraph"/>
              <w:numPr>
                <w:ilvl w:val="0"/>
                <w:numId w:val="68"/>
              </w:numPr>
              <w:jc w:val="both"/>
              <w:rPr>
                <w:rFonts w:ascii="Calibri" w:hAnsi="Calibri" w:cs="Calibri"/>
                <w:lang w:val="en-IN"/>
              </w:rPr>
            </w:pPr>
            <w:hyperlink r:id="rId21" w:history="1">
              <w:r w:rsidRPr="007222DD">
                <w:rPr>
                  <w:rStyle w:val="Hyperlink"/>
                  <w:rFonts w:ascii="Calibri" w:hAnsi="Calibri" w:cs="Calibri"/>
                  <w:lang w:val="en-IN"/>
                </w:rPr>
                <w:t>https://web.archive.org/web/20250708165407/https://merc.gov.in/wp-content/uploads/2025/06/Order-in-Case-No-2-SM-2024.pdf</w:t>
              </w:r>
            </w:hyperlink>
            <w:r>
              <w:rPr>
                <w:rFonts w:ascii="Calibri" w:hAnsi="Calibri" w:cs="Calibri"/>
                <w:lang w:val="en-IN"/>
              </w:rPr>
              <w:t xml:space="preserve"> </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40A6FA46" w:rsidR="001F30DE" w:rsidRPr="00C37D48" w:rsidRDefault="0051269D"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3464D8D1" w:rsidR="001F30DE" w:rsidRPr="00C37D48" w:rsidRDefault="003A38A3" w:rsidP="005F2B38">
            <w:pPr>
              <w:jc w:val="both"/>
              <w:rPr>
                <w:rFonts w:ascii="Calibri" w:hAnsi="Calibri" w:cs="Calibri"/>
              </w:rPr>
            </w:pPr>
            <w:r w:rsidRPr="003A38A3">
              <w:rPr>
                <w:rFonts w:ascii="Calibri" w:hAnsi="Calibri" w:cs="Calibri"/>
              </w:rPr>
              <w:t>Yes, RPO provisions have been involved in multiple litigations, particularly in relation to their applicability on captive power producers</w:t>
            </w:r>
            <w:r>
              <w:rPr>
                <w:rFonts w:ascii="Calibri" w:hAnsi="Calibri" w:cs="Calibri"/>
              </w:rPr>
              <w:t xml:space="preserve">. In </w:t>
            </w:r>
            <w:r w:rsidRPr="003A38A3">
              <w:rPr>
                <w:rFonts w:ascii="Calibri" w:hAnsi="Calibri" w:cs="Calibri"/>
              </w:rPr>
              <w:t xml:space="preserve">Hindustan Zinc Ltd. v. Rajasthan Electricity Regulatory Commission, </w:t>
            </w:r>
            <w:r>
              <w:rPr>
                <w:rFonts w:ascii="Calibri" w:hAnsi="Calibri" w:cs="Calibri"/>
              </w:rPr>
              <w:t>t</w:t>
            </w:r>
            <w:r w:rsidRPr="003A38A3">
              <w:rPr>
                <w:rFonts w:ascii="Calibri" w:hAnsi="Calibri" w:cs="Calibri"/>
              </w:rPr>
              <w:t>he Rajasthan High Court upheld the constitutional validity of imposing RPOs on captive power producers, ruling that such obligations are within the scope of Section 86(1)(e) of the Electricity Act, 2003.</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lastRenderedPageBreak/>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169153F2" w:rsidR="004F48E8" w:rsidRPr="00C37D48" w:rsidRDefault="009D4611"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661A4A47" w:rsidR="000A1365" w:rsidRPr="00C37D48" w:rsidRDefault="00D1371D"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6D38D9FC" w:rsidR="00890032" w:rsidRPr="00C37D48" w:rsidRDefault="008C005C"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D78A9AD" w:rsidR="00B610C2" w:rsidRPr="00610F28" w:rsidRDefault="00FD5D2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AF1C00E" w:rsidR="00B610C2" w:rsidRPr="00610F28" w:rsidRDefault="00FD5D2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0B1BB97" w:rsidR="00B610C2" w:rsidRPr="00610F28" w:rsidRDefault="00FD5D27"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674A5A2" w:rsidR="00B610C2" w:rsidRPr="00610F28" w:rsidRDefault="00FD5D2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12240D3" w:rsidR="00B610C2" w:rsidRPr="00610F28" w:rsidRDefault="00FD5D2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BA28F28" w:rsidR="00B610C2" w:rsidRPr="00610F28" w:rsidRDefault="00FD5D2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AE53368" w:rsidR="00B610C2" w:rsidRPr="00610F28" w:rsidRDefault="00FD5D2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713A945" w:rsidR="00B610C2" w:rsidRPr="00610F28" w:rsidRDefault="00FD5D2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3C6B30A" w:rsidR="00B610C2" w:rsidRPr="00610F28" w:rsidRDefault="00FD5D2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lastRenderedPageBreak/>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CC00ED1" w:rsidR="00B610C2" w:rsidRPr="00610F28" w:rsidRDefault="00FD5D2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CF1C1D9" w:rsidR="00B610C2" w:rsidRPr="00610F28" w:rsidRDefault="00FD5D27"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61B8F226" w:rsidR="00D4323A" w:rsidRPr="00610F28" w:rsidRDefault="005252AF"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431545" w:rsidR="00D4323A" w:rsidRPr="00610F28" w:rsidRDefault="005252AF"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4C68E77F" w:rsidR="00D4323A" w:rsidRPr="00610F28" w:rsidRDefault="005252AF"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0198452A" w:rsidR="00D4323A" w:rsidRPr="00610F28" w:rsidRDefault="005252AF"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1000B0E3" w:rsidR="00D4323A" w:rsidRPr="00610F28" w:rsidRDefault="005252AF"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4E64E5A6" w:rsidR="00D4323A" w:rsidRPr="00610F28" w:rsidRDefault="005252AF"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ECFAD34" w:rsidR="00D4323A" w:rsidRPr="00610F28" w:rsidRDefault="005252AF"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8883E61" w:rsidR="00D4323A" w:rsidRPr="00610F28" w:rsidRDefault="005252AF" w:rsidP="00610F28">
            <w:pPr>
              <w:rPr>
                <w:rFonts w:ascii="Calibri" w:hAnsi="Calibri" w:cs="Calibri"/>
              </w:rPr>
            </w:pPr>
            <w:r>
              <w:rPr>
                <w:rFonts w:ascii="Calibri" w:hAnsi="Calibri" w:cs="Calibri"/>
              </w:rPr>
              <w:t>X</w:t>
            </w: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37322664" w:rsidR="00D4323A" w:rsidRPr="00610F28" w:rsidRDefault="005252AF"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2230B09D" w:rsidR="00D4323A" w:rsidRPr="00610F28" w:rsidRDefault="005252AF"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475B9D3F" w:rsidR="00D4323A" w:rsidRPr="00610F28" w:rsidRDefault="005252AF"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2317A37E" w:rsidR="00D4323A" w:rsidRPr="00610F28" w:rsidRDefault="005252AF"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3361E63C" w:rsidR="00D4323A" w:rsidRPr="00610F28" w:rsidRDefault="005252AF" w:rsidP="00610F28">
            <w:pPr>
              <w:rPr>
                <w:rFonts w:ascii="Calibri" w:hAnsi="Calibri" w:cs="Calibri"/>
              </w:rPr>
            </w:pPr>
            <w:r>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5E30B07A" w:rsidR="00C66EE0" w:rsidRPr="00610F28" w:rsidRDefault="005252AF" w:rsidP="005F2B38">
            <w:pPr>
              <w:jc w:val="both"/>
              <w:rPr>
                <w:rFonts w:ascii="Calibri" w:hAnsi="Calibri" w:cs="Calibri"/>
              </w:rPr>
            </w:pPr>
            <w:r w:rsidRPr="00DD1E0A">
              <w:rPr>
                <w:rFonts w:ascii="Calibri" w:hAnsi="Calibri" w:cs="Calibri"/>
              </w:rPr>
              <w:t xml:space="preserve">RPO obligations are imposed by law on </w:t>
            </w:r>
            <w:r w:rsidRPr="00041596">
              <w:rPr>
                <w:rFonts w:ascii="Calibri" w:hAnsi="Calibri" w:cs="Calibri"/>
              </w:rPr>
              <w:t>distribution licensees (DISCOMs)</w:t>
            </w:r>
            <w:r w:rsidRPr="00DD1E0A">
              <w:rPr>
                <w:rFonts w:ascii="Calibri" w:hAnsi="Calibri" w:cs="Calibri"/>
              </w:rPr>
              <w:t xml:space="preserve">, which include </w:t>
            </w:r>
            <w:r w:rsidRPr="00041596">
              <w:rPr>
                <w:rFonts w:ascii="Calibri" w:hAnsi="Calibri" w:cs="Calibri"/>
              </w:rPr>
              <w:t>state-owned utilities</w:t>
            </w:r>
            <w:r w:rsidRPr="00DD1E0A">
              <w:rPr>
                <w:rFonts w:ascii="Calibri" w:hAnsi="Calibri" w:cs="Calibri"/>
              </w:rPr>
              <w:t xml:space="preserve">, </w:t>
            </w:r>
            <w:r w:rsidRPr="00041596">
              <w:rPr>
                <w:rFonts w:ascii="Calibri" w:hAnsi="Calibri" w:cs="Calibri"/>
              </w:rPr>
              <w:t>private distribution licensees</w:t>
            </w:r>
            <w:r w:rsidRPr="00DD1E0A">
              <w:rPr>
                <w:rFonts w:ascii="Calibri" w:hAnsi="Calibri" w:cs="Calibri"/>
              </w:rPr>
              <w:t xml:space="preserve">, and in some cases </w:t>
            </w:r>
            <w:r w:rsidRPr="00041596">
              <w:rPr>
                <w:rFonts w:ascii="Calibri" w:hAnsi="Calibri" w:cs="Calibri"/>
              </w:rPr>
              <w:t>captive consumers</w:t>
            </w:r>
            <w:r w:rsidRPr="00DD1E0A">
              <w:rPr>
                <w:rFonts w:ascii="Calibri" w:hAnsi="Calibri" w:cs="Calibri"/>
              </w:rPr>
              <w:t xml:space="preserve"> and </w:t>
            </w:r>
            <w:r w:rsidRPr="00041596">
              <w:rPr>
                <w:rFonts w:ascii="Calibri" w:hAnsi="Calibri" w:cs="Calibri"/>
              </w:rPr>
              <w:t>open access users</w:t>
            </w:r>
            <w:r w:rsidRPr="00DD1E0A">
              <w:rPr>
                <w:rFonts w:ascii="Calibri" w:hAnsi="Calibri" w:cs="Calibri"/>
              </w:rPr>
              <w:t xml:space="preserve">, regardless of their corporate status (listed/unlisted, large/small). Compliance is </w:t>
            </w:r>
            <w:r w:rsidRPr="00041596">
              <w:rPr>
                <w:rFonts w:ascii="Calibri" w:hAnsi="Calibri" w:cs="Calibri"/>
              </w:rPr>
              <w:t>mandatory</w:t>
            </w:r>
            <w:r w:rsidRPr="00DD1E0A">
              <w:rPr>
                <w:rFonts w:ascii="Calibri" w:hAnsi="Calibri" w:cs="Calibri"/>
              </w:rPr>
              <w:t xml:space="preserve"> under Section 86(1)(e) of the Electricity Act, 2003, and relevant State Electricity Regulatory Commission (SERC) regulations.</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lastRenderedPageBreak/>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120B3045" w14:textId="77777777" w:rsidR="005252AF" w:rsidRPr="00D1352B" w:rsidRDefault="005252AF" w:rsidP="005252AF">
            <w:pPr>
              <w:jc w:val="both"/>
              <w:rPr>
                <w:rFonts w:ascii="Calibri" w:hAnsi="Calibri" w:cs="Calibri"/>
                <w:lang w:val="en-IN"/>
              </w:rPr>
            </w:pPr>
            <w:r w:rsidRPr="00041596">
              <w:rPr>
                <w:rFonts w:ascii="Calibri" w:hAnsi="Calibri" w:cs="Calibri"/>
                <w:lang w:val="en-IN"/>
              </w:rPr>
              <w:t>RPO compliance is mandatory</w:t>
            </w:r>
            <w:r w:rsidRPr="00D1352B">
              <w:rPr>
                <w:rFonts w:ascii="Calibri" w:hAnsi="Calibri" w:cs="Calibri"/>
                <w:lang w:val="en-IN"/>
              </w:rPr>
              <w:t xml:space="preserve"> for:</w:t>
            </w:r>
          </w:p>
          <w:p w14:paraId="52477D77" w14:textId="77777777" w:rsidR="005252AF" w:rsidRPr="00D1352B" w:rsidRDefault="005252AF" w:rsidP="005252AF">
            <w:pPr>
              <w:numPr>
                <w:ilvl w:val="0"/>
                <w:numId w:val="54"/>
              </w:numPr>
              <w:jc w:val="both"/>
              <w:rPr>
                <w:rFonts w:ascii="Calibri" w:hAnsi="Calibri" w:cs="Calibri"/>
                <w:lang w:val="en-IN"/>
              </w:rPr>
            </w:pPr>
            <w:r w:rsidRPr="00041596">
              <w:rPr>
                <w:rFonts w:ascii="Calibri" w:hAnsi="Calibri" w:cs="Calibri"/>
                <w:lang w:val="en-IN"/>
              </w:rPr>
              <w:t>Public distribution licensees (e.g., state-owned DISCOMs)</w:t>
            </w:r>
            <w:r w:rsidRPr="00D1352B">
              <w:rPr>
                <w:rFonts w:ascii="Calibri" w:hAnsi="Calibri" w:cs="Calibri"/>
                <w:lang w:val="en-IN"/>
              </w:rPr>
              <w:t xml:space="preserve"> – forming the primary public procurement </w:t>
            </w:r>
            <w:proofErr w:type="gramStart"/>
            <w:r w:rsidRPr="00D1352B">
              <w:rPr>
                <w:rFonts w:ascii="Calibri" w:hAnsi="Calibri" w:cs="Calibri"/>
                <w:lang w:val="en-IN"/>
              </w:rPr>
              <w:t>angle;</w:t>
            </w:r>
            <w:proofErr w:type="gramEnd"/>
          </w:p>
          <w:p w14:paraId="1BA51320" w14:textId="77777777" w:rsidR="005252AF" w:rsidRPr="00D1352B" w:rsidRDefault="005252AF" w:rsidP="005252AF">
            <w:pPr>
              <w:numPr>
                <w:ilvl w:val="0"/>
                <w:numId w:val="54"/>
              </w:numPr>
              <w:jc w:val="both"/>
              <w:rPr>
                <w:rFonts w:ascii="Calibri" w:hAnsi="Calibri" w:cs="Calibri"/>
                <w:lang w:val="en-IN"/>
              </w:rPr>
            </w:pPr>
            <w:r w:rsidRPr="00041596">
              <w:rPr>
                <w:rFonts w:ascii="Calibri" w:hAnsi="Calibri" w:cs="Calibri"/>
                <w:lang w:val="en-IN"/>
              </w:rPr>
              <w:t>Private distribution licensees</w:t>
            </w:r>
            <w:r w:rsidRPr="00D1352B">
              <w:rPr>
                <w:rFonts w:ascii="Calibri" w:hAnsi="Calibri" w:cs="Calibri"/>
                <w:lang w:val="en-IN"/>
              </w:rPr>
              <w:t xml:space="preserve">, including publicly listed and unlisted </w:t>
            </w:r>
            <w:proofErr w:type="gramStart"/>
            <w:r w:rsidRPr="00D1352B">
              <w:rPr>
                <w:rFonts w:ascii="Calibri" w:hAnsi="Calibri" w:cs="Calibri"/>
                <w:lang w:val="en-IN"/>
              </w:rPr>
              <w:t>companies;</w:t>
            </w:r>
            <w:proofErr w:type="gramEnd"/>
          </w:p>
          <w:p w14:paraId="26DB84C0" w14:textId="77777777" w:rsidR="005252AF" w:rsidRPr="00D1352B" w:rsidRDefault="005252AF" w:rsidP="005252AF">
            <w:pPr>
              <w:numPr>
                <w:ilvl w:val="0"/>
                <w:numId w:val="54"/>
              </w:numPr>
              <w:jc w:val="both"/>
              <w:rPr>
                <w:rFonts w:ascii="Calibri" w:hAnsi="Calibri" w:cs="Calibri"/>
                <w:lang w:val="en-IN"/>
              </w:rPr>
            </w:pPr>
            <w:r w:rsidRPr="00041596">
              <w:rPr>
                <w:rFonts w:ascii="Calibri" w:hAnsi="Calibri" w:cs="Calibri"/>
                <w:lang w:val="en-IN"/>
              </w:rPr>
              <w:t>Captive power producers</w:t>
            </w:r>
            <w:r w:rsidRPr="00D1352B">
              <w:rPr>
                <w:rFonts w:ascii="Calibri" w:hAnsi="Calibri" w:cs="Calibri"/>
                <w:lang w:val="en-IN"/>
              </w:rPr>
              <w:t xml:space="preserve"> (above a threshold capacity) and </w:t>
            </w:r>
            <w:r w:rsidRPr="00041596">
              <w:rPr>
                <w:rFonts w:ascii="Calibri" w:hAnsi="Calibri" w:cs="Calibri"/>
                <w:lang w:val="en-IN"/>
              </w:rPr>
              <w:t xml:space="preserve">open access </w:t>
            </w:r>
            <w:proofErr w:type="gramStart"/>
            <w:r w:rsidRPr="00041596">
              <w:rPr>
                <w:rFonts w:ascii="Calibri" w:hAnsi="Calibri" w:cs="Calibri"/>
                <w:lang w:val="en-IN"/>
              </w:rPr>
              <w:t>consumers</w:t>
            </w:r>
            <w:r w:rsidRPr="00D1352B">
              <w:rPr>
                <w:rFonts w:ascii="Calibri" w:hAnsi="Calibri" w:cs="Calibri"/>
                <w:lang w:val="en-IN"/>
              </w:rPr>
              <w:t>;</w:t>
            </w:r>
            <w:proofErr w:type="gramEnd"/>
          </w:p>
          <w:p w14:paraId="4E807039" w14:textId="77777777" w:rsidR="005252AF" w:rsidRPr="00D1352B" w:rsidRDefault="005252AF" w:rsidP="005252AF">
            <w:pPr>
              <w:jc w:val="both"/>
              <w:rPr>
                <w:rFonts w:ascii="Calibri" w:hAnsi="Calibri" w:cs="Calibri"/>
                <w:lang w:val="en-IN"/>
              </w:rPr>
            </w:pPr>
            <w:r w:rsidRPr="00D1352B">
              <w:rPr>
                <w:rFonts w:ascii="Calibri" w:hAnsi="Calibri" w:cs="Calibri"/>
                <w:lang w:val="en-IN"/>
              </w:rPr>
              <w:lastRenderedPageBreak/>
              <w:t xml:space="preserve">Obligations are specified by </w:t>
            </w:r>
            <w:r w:rsidRPr="00041596">
              <w:rPr>
                <w:rFonts w:ascii="Calibri" w:hAnsi="Calibri" w:cs="Calibri"/>
                <w:lang w:val="en-IN"/>
              </w:rPr>
              <w:t>State Electricity Regulatory Commissions</w:t>
            </w:r>
            <w:r w:rsidRPr="00D1352B">
              <w:rPr>
                <w:rFonts w:ascii="Calibri" w:hAnsi="Calibri" w:cs="Calibri"/>
                <w:lang w:val="en-IN"/>
              </w:rPr>
              <w:t xml:space="preserve"> and monitored by the </w:t>
            </w:r>
            <w:r w:rsidRPr="00041596">
              <w:rPr>
                <w:rFonts w:ascii="Calibri" w:hAnsi="Calibri" w:cs="Calibri"/>
                <w:lang w:val="en-IN"/>
              </w:rPr>
              <w:t>Bureau of Energy Efficiency</w:t>
            </w:r>
            <w:r w:rsidRPr="00D1352B">
              <w:rPr>
                <w:rFonts w:ascii="Calibri" w:hAnsi="Calibri" w:cs="Calibri"/>
                <w:lang w:val="en-IN"/>
              </w:rPr>
              <w:t xml:space="preserve"> at the central level (for consolidated reporting under Renewable Consumption Obligations)</w:t>
            </w:r>
          </w:p>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4B4B0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31D173C4" w:rsidR="00C66EE0" w:rsidRPr="00610F28" w:rsidRDefault="005252AF" w:rsidP="005F2B38">
            <w:pPr>
              <w:jc w:val="both"/>
              <w:rPr>
                <w:rFonts w:ascii="Calibri" w:hAnsi="Calibri" w:cs="Calibri"/>
              </w:rPr>
            </w:pPr>
            <w:r w:rsidRPr="00FB7BEA">
              <w:rPr>
                <w:rFonts w:ascii="Calibri" w:hAnsi="Calibri" w:cs="Calibri"/>
              </w:rPr>
              <w:t>Yes</w:t>
            </w:r>
            <w:r>
              <w:rPr>
                <w:rFonts w:ascii="Calibri" w:hAnsi="Calibri" w:cs="Calibri"/>
              </w:rPr>
              <w:t xml:space="preserve">, </w:t>
            </w:r>
            <w:proofErr w:type="gramStart"/>
            <w:r>
              <w:rPr>
                <w:rFonts w:ascii="Calibri" w:hAnsi="Calibri" w:cs="Calibri"/>
              </w:rPr>
              <w:t>T</w:t>
            </w:r>
            <w:r w:rsidRPr="00FB7BEA">
              <w:rPr>
                <w:rFonts w:ascii="Calibri" w:hAnsi="Calibri" w:cs="Calibri"/>
              </w:rPr>
              <w:t>he</w:t>
            </w:r>
            <w:proofErr w:type="gramEnd"/>
            <w:r w:rsidRPr="00FB7BEA">
              <w:rPr>
                <w:rFonts w:ascii="Calibri" w:hAnsi="Calibri" w:cs="Calibri"/>
              </w:rPr>
              <w:t xml:space="preserve"> policy applies to entities operating or licensed in India under jurisdiction of </w:t>
            </w:r>
            <w:r>
              <w:rPr>
                <w:rFonts w:ascii="Calibri" w:hAnsi="Calibri" w:cs="Calibri"/>
              </w:rPr>
              <w:t>SERC</w:t>
            </w:r>
            <w:r w:rsidRPr="00FB7BEA">
              <w:rPr>
                <w:rFonts w:ascii="Calibri" w:hAnsi="Calibri" w:cs="Calibri"/>
              </w:rPr>
              <w:t xml:space="preserve"> or </w:t>
            </w:r>
            <w:r>
              <w:rPr>
                <w:rFonts w:ascii="Calibri" w:hAnsi="Calibri" w:cs="Calibri"/>
              </w:rPr>
              <w:t>CERC</w:t>
            </w:r>
            <w:r w:rsidRPr="00FB7BEA">
              <w:rPr>
                <w:rFonts w:ascii="Calibri" w:hAnsi="Calibri" w:cs="Calibri"/>
              </w:rPr>
              <w:t>.</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4712CD5F" w:rsidR="00C66EE0" w:rsidRPr="00610F28" w:rsidRDefault="005252AF"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4D77540A" w:rsidR="00C66EE0" w:rsidRPr="00610F28" w:rsidRDefault="005252AF" w:rsidP="00610F28">
            <w:pPr>
              <w:rPr>
                <w:rFonts w:ascii="Calibri" w:hAnsi="Calibri" w:cs="Calibri"/>
              </w:rPr>
            </w:pPr>
            <w:r>
              <w:rPr>
                <w:rFonts w:ascii="Calibri" w:hAnsi="Calibri" w:cs="Calibri"/>
              </w:rPr>
              <w:t>X</w:t>
            </w: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lastRenderedPageBreak/>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3961447D" w14:textId="77777777" w:rsidR="005252AF" w:rsidRPr="00E411F2" w:rsidRDefault="005252AF" w:rsidP="005252AF">
            <w:pPr>
              <w:jc w:val="both"/>
              <w:rPr>
                <w:rFonts w:ascii="Calibri" w:hAnsi="Calibri" w:cs="Calibri"/>
                <w:lang w:val="en-IN"/>
              </w:rPr>
            </w:pPr>
            <w:r w:rsidRPr="00E411F2">
              <w:rPr>
                <w:rFonts w:ascii="Calibri" w:hAnsi="Calibri" w:cs="Calibri"/>
                <w:lang w:val="en-IN"/>
              </w:rPr>
              <w:t xml:space="preserve">Under </w:t>
            </w:r>
            <w:r w:rsidRPr="00041596">
              <w:rPr>
                <w:rFonts w:ascii="Calibri" w:hAnsi="Calibri" w:cs="Calibri"/>
                <w:lang w:val="en-IN"/>
              </w:rPr>
              <w:t>Section 142 of the Electricity Act, 2003</w:t>
            </w:r>
            <w:r w:rsidRPr="00E411F2">
              <w:rPr>
                <w:rFonts w:ascii="Calibri" w:hAnsi="Calibri" w:cs="Calibri"/>
                <w:lang w:val="en-IN"/>
              </w:rPr>
              <w:t>, non-compliance with RPO obligations can attract penalties of up to ₹1 lakh per default, and an additional ₹6,000 per day for continuing contraventions.</w:t>
            </w:r>
          </w:p>
          <w:p w14:paraId="638D4474" w14:textId="77777777" w:rsidR="005252AF" w:rsidRPr="00E411F2" w:rsidRDefault="005252AF" w:rsidP="005252AF">
            <w:pPr>
              <w:jc w:val="both"/>
              <w:rPr>
                <w:rFonts w:ascii="Calibri" w:hAnsi="Calibri" w:cs="Calibri"/>
                <w:lang w:val="en-IN"/>
              </w:rPr>
            </w:pPr>
            <w:r w:rsidRPr="00E411F2">
              <w:rPr>
                <w:rFonts w:ascii="Calibri" w:hAnsi="Calibri" w:cs="Calibri"/>
                <w:lang w:val="en-IN"/>
              </w:rPr>
              <w:t xml:space="preserve">Additionally, </w:t>
            </w:r>
            <w:r w:rsidRPr="00041596">
              <w:rPr>
                <w:rFonts w:ascii="Calibri" w:hAnsi="Calibri" w:cs="Calibri"/>
                <w:lang w:val="en-IN"/>
              </w:rPr>
              <w:t>State ERCs</w:t>
            </w:r>
            <w:r w:rsidRPr="00E411F2">
              <w:rPr>
                <w:rFonts w:ascii="Calibri" w:hAnsi="Calibri" w:cs="Calibri"/>
                <w:lang w:val="en-IN"/>
              </w:rPr>
              <w:t xml:space="preserve"> may:</w:t>
            </w:r>
          </w:p>
          <w:p w14:paraId="3D87F633" w14:textId="77777777" w:rsidR="005252AF" w:rsidRPr="00E411F2" w:rsidRDefault="005252AF" w:rsidP="005252AF">
            <w:pPr>
              <w:numPr>
                <w:ilvl w:val="0"/>
                <w:numId w:val="55"/>
              </w:numPr>
              <w:jc w:val="both"/>
              <w:rPr>
                <w:rFonts w:ascii="Calibri" w:hAnsi="Calibri" w:cs="Calibri"/>
                <w:lang w:val="en-IN"/>
              </w:rPr>
            </w:pPr>
            <w:r w:rsidRPr="00E411F2">
              <w:rPr>
                <w:rFonts w:ascii="Calibri" w:hAnsi="Calibri" w:cs="Calibri"/>
                <w:lang w:val="en-IN"/>
              </w:rPr>
              <w:t xml:space="preserve">Direct defaulting DISCOMs to purchase Renewable Energy Certificates (RECs) to meet </w:t>
            </w:r>
            <w:proofErr w:type="gramStart"/>
            <w:r w:rsidRPr="00E411F2">
              <w:rPr>
                <w:rFonts w:ascii="Calibri" w:hAnsi="Calibri" w:cs="Calibri"/>
                <w:lang w:val="en-IN"/>
              </w:rPr>
              <w:t>shortfalls;</w:t>
            </w:r>
            <w:proofErr w:type="gramEnd"/>
          </w:p>
          <w:p w14:paraId="23FCD720" w14:textId="77777777" w:rsidR="005252AF" w:rsidRPr="00E411F2" w:rsidRDefault="005252AF" w:rsidP="005252AF">
            <w:pPr>
              <w:numPr>
                <w:ilvl w:val="0"/>
                <w:numId w:val="55"/>
              </w:numPr>
              <w:jc w:val="both"/>
              <w:rPr>
                <w:rFonts w:ascii="Calibri" w:hAnsi="Calibri" w:cs="Calibri"/>
                <w:lang w:val="en-IN"/>
              </w:rPr>
            </w:pPr>
            <w:r w:rsidRPr="00E411F2">
              <w:rPr>
                <w:rFonts w:ascii="Calibri" w:hAnsi="Calibri" w:cs="Calibri"/>
                <w:lang w:val="en-IN"/>
              </w:rPr>
              <w:t xml:space="preserve">Levy compliance costs or </w:t>
            </w:r>
            <w:proofErr w:type="gramStart"/>
            <w:r w:rsidRPr="00E411F2">
              <w:rPr>
                <w:rFonts w:ascii="Calibri" w:hAnsi="Calibri" w:cs="Calibri"/>
                <w:lang w:val="en-IN"/>
              </w:rPr>
              <w:t>interest;</w:t>
            </w:r>
            <w:proofErr w:type="gramEnd"/>
          </w:p>
          <w:p w14:paraId="35D59CE0" w14:textId="77777777" w:rsidR="005252AF" w:rsidRPr="00E411F2" w:rsidRDefault="005252AF" w:rsidP="005252AF">
            <w:pPr>
              <w:numPr>
                <w:ilvl w:val="0"/>
                <w:numId w:val="55"/>
              </w:numPr>
              <w:jc w:val="both"/>
              <w:rPr>
                <w:rFonts w:ascii="Calibri" w:hAnsi="Calibri" w:cs="Calibri"/>
                <w:lang w:val="en-IN"/>
              </w:rPr>
            </w:pPr>
            <w:r w:rsidRPr="00E411F2">
              <w:rPr>
                <w:rFonts w:ascii="Calibri" w:hAnsi="Calibri" w:cs="Calibri"/>
                <w:lang w:val="en-IN"/>
              </w:rPr>
              <w:t>Publicly disclose non-compliance in regulatory orders (e.g. DERC, MERC).</w:t>
            </w:r>
          </w:p>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lastRenderedPageBreak/>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lastRenderedPageBreak/>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6502BFD" w14:textId="77777777" w:rsidR="005252AF" w:rsidRPr="0051269D" w:rsidRDefault="005252AF" w:rsidP="005252AF">
            <w:pPr>
              <w:jc w:val="both"/>
              <w:rPr>
                <w:rFonts w:ascii="Calibri" w:hAnsi="Calibri" w:cs="Calibri"/>
              </w:rPr>
            </w:pPr>
            <w:r w:rsidRPr="0051269D">
              <w:rPr>
                <w:rFonts w:ascii="Calibri" w:hAnsi="Calibri" w:cs="Calibri"/>
              </w:rPr>
              <w:t>Yes, there is clear evidence that RPO obligations have been enforced by multiple State Electricity Regulatory Commissions (SERCs) across India. In several states, regulatory orders have directed obligated entities</w:t>
            </w:r>
            <w:r>
              <w:rPr>
                <w:rFonts w:ascii="Calibri" w:hAnsi="Calibri" w:cs="Calibri"/>
              </w:rPr>
              <w:t xml:space="preserve">, </w:t>
            </w:r>
            <w:r w:rsidRPr="0051269D">
              <w:rPr>
                <w:rFonts w:ascii="Calibri" w:hAnsi="Calibri" w:cs="Calibri"/>
              </w:rPr>
              <w:t>particularly DISCOMs and large captive users</w:t>
            </w:r>
            <w:r>
              <w:rPr>
                <w:rFonts w:ascii="Calibri" w:hAnsi="Calibri" w:cs="Calibri"/>
              </w:rPr>
              <w:t xml:space="preserve">, </w:t>
            </w:r>
            <w:r w:rsidRPr="0051269D">
              <w:rPr>
                <w:rFonts w:ascii="Calibri" w:hAnsi="Calibri" w:cs="Calibri"/>
              </w:rPr>
              <w:t xml:space="preserve">to </w:t>
            </w:r>
            <w:proofErr w:type="spellStart"/>
            <w:r w:rsidRPr="0051269D">
              <w:rPr>
                <w:rFonts w:ascii="Calibri" w:hAnsi="Calibri" w:cs="Calibri"/>
              </w:rPr>
              <w:t>fulfill</w:t>
            </w:r>
            <w:proofErr w:type="spellEnd"/>
            <w:r w:rsidRPr="0051269D">
              <w:rPr>
                <w:rFonts w:ascii="Calibri" w:hAnsi="Calibri" w:cs="Calibri"/>
              </w:rPr>
              <w:t xml:space="preserve"> shortfalls in their RPO compliance either by procuring additional renewable energy or by purchasing Renewable Energy Certificates (RECs). SERCs have also invoked their powers under the Electricity Act, 2003 to impose financial penalties, carry forward obligations, and tariff-based adjustments for continued non-compliance.</w:t>
            </w:r>
          </w:p>
          <w:p w14:paraId="2B2D0494" w14:textId="6CB45F26" w:rsidR="00C66EE0" w:rsidRPr="00610F28" w:rsidRDefault="005252AF" w:rsidP="001D7565">
            <w:pPr>
              <w:jc w:val="both"/>
              <w:rPr>
                <w:rFonts w:ascii="Calibri" w:hAnsi="Calibri" w:cs="Calibri"/>
              </w:rPr>
            </w:pPr>
            <w:r w:rsidRPr="0051269D">
              <w:rPr>
                <w:rFonts w:ascii="Calibri" w:hAnsi="Calibri" w:cs="Calibri"/>
              </w:rPr>
              <w:t xml:space="preserve">For example, state commissions such as those in Delhi, Maharashtra, Gujarat, and Rajasthan have issued binding directions in individual tariff or </w:t>
            </w:r>
            <w:proofErr w:type="spellStart"/>
            <w:r w:rsidRPr="0051269D">
              <w:rPr>
                <w:rFonts w:ascii="Calibri" w:hAnsi="Calibri" w:cs="Calibri"/>
              </w:rPr>
              <w:t>suo</w:t>
            </w:r>
            <w:proofErr w:type="spellEnd"/>
            <w:r w:rsidRPr="0051269D">
              <w:rPr>
                <w:rFonts w:ascii="Calibri" w:hAnsi="Calibri" w:cs="Calibri"/>
              </w:rPr>
              <w:t xml:space="preserve"> motu proceedings, explicitly citing RPO shortfalls and enforcing compliance through cost recovery mechanisms or REC purchase mandates.</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314E19D" w:rsidR="00C66EE0" w:rsidRPr="00610F28" w:rsidRDefault="005252AF" w:rsidP="001D7565">
            <w:pPr>
              <w:jc w:val="both"/>
              <w:rPr>
                <w:rFonts w:ascii="Calibri" w:hAnsi="Calibri" w:cs="Calibri"/>
              </w:rPr>
            </w:pPr>
            <w:r w:rsidRPr="003A38A3">
              <w:rPr>
                <w:rFonts w:ascii="Calibri" w:hAnsi="Calibri" w:cs="Calibri"/>
              </w:rPr>
              <w:t>Yes, RPO provisions have been involved in multiple litigations, particularly in relation to their applicability on captive power producers</w:t>
            </w:r>
            <w:r>
              <w:rPr>
                <w:rFonts w:ascii="Calibri" w:hAnsi="Calibri" w:cs="Calibri"/>
              </w:rPr>
              <w:t xml:space="preserve">. In </w:t>
            </w:r>
            <w:r w:rsidRPr="003A38A3">
              <w:rPr>
                <w:rFonts w:ascii="Calibri" w:hAnsi="Calibri" w:cs="Calibri"/>
              </w:rPr>
              <w:t xml:space="preserve">Hindustan Zinc Ltd. v. Rajasthan Electricity Regulatory Commission, </w:t>
            </w:r>
            <w:r>
              <w:rPr>
                <w:rFonts w:ascii="Calibri" w:hAnsi="Calibri" w:cs="Calibri"/>
              </w:rPr>
              <w:t>t</w:t>
            </w:r>
            <w:r w:rsidRPr="003A38A3">
              <w:rPr>
                <w:rFonts w:ascii="Calibri" w:hAnsi="Calibri" w:cs="Calibri"/>
              </w:rPr>
              <w:t>he Rajasthan High Court upheld the constitutional validity of imposing RPOs on captive power producers, ruling that such obligations are within the scope of Section 86(1)(e) of the Electricity Act, 2003.</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lastRenderedPageBreak/>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4CBDCF83" w:rsidR="00DF50B5" w:rsidRPr="00610F28" w:rsidRDefault="00F36C06"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27CDF7FA" w14:textId="77777777" w:rsidR="00B9001D" w:rsidRPr="00B9001D" w:rsidRDefault="00B9001D" w:rsidP="005F2B38">
            <w:pPr>
              <w:jc w:val="both"/>
              <w:rPr>
                <w:rFonts w:ascii="Calibri" w:hAnsi="Calibri" w:cs="Calibri"/>
                <w:lang w:val="en-IN"/>
              </w:rPr>
            </w:pPr>
            <w:r w:rsidRPr="00B9001D">
              <w:rPr>
                <w:rFonts w:ascii="Calibri" w:hAnsi="Calibri" w:cs="Calibri"/>
                <w:lang w:val="en-IN"/>
              </w:rPr>
              <w:t xml:space="preserve">Yes, the RPO framework </w:t>
            </w:r>
            <w:r w:rsidRPr="005F2B38">
              <w:rPr>
                <w:rFonts w:ascii="Calibri" w:hAnsi="Calibri" w:cs="Calibri"/>
                <w:lang w:val="en-IN"/>
              </w:rPr>
              <w:t>requires alignment of public electricity procurement by state-owned distribution licensees (DISCOMs)</w:t>
            </w:r>
            <w:r w:rsidRPr="00B9001D">
              <w:rPr>
                <w:rFonts w:ascii="Calibri" w:hAnsi="Calibri" w:cs="Calibri"/>
                <w:lang w:val="en-IN"/>
              </w:rPr>
              <w:t xml:space="preserve"> with national renewable energy targets and obligations.</w:t>
            </w:r>
          </w:p>
          <w:p w14:paraId="23AEFEC6" w14:textId="77777777" w:rsidR="00B9001D" w:rsidRPr="00B9001D" w:rsidRDefault="00B9001D" w:rsidP="005F2B38">
            <w:pPr>
              <w:jc w:val="both"/>
              <w:rPr>
                <w:rFonts w:ascii="Calibri" w:hAnsi="Calibri" w:cs="Calibri"/>
                <w:lang w:val="en-IN"/>
              </w:rPr>
            </w:pPr>
            <w:r w:rsidRPr="00B9001D">
              <w:rPr>
                <w:rFonts w:ascii="Calibri" w:hAnsi="Calibri" w:cs="Calibri"/>
                <w:lang w:val="en-IN"/>
              </w:rPr>
              <w:t>This is mandated under:</w:t>
            </w:r>
          </w:p>
          <w:p w14:paraId="0B70BA50" w14:textId="77777777" w:rsidR="00B9001D" w:rsidRPr="00B9001D" w:rsidRDefault="00B9001D" w:rsidP="005F2B38">
            <w:pPr>
              <w:numPr>
                <w:ilvl w:val="0"/>
                <w:numId w:val="56"/>
              </w:numPr>
              <w:jc w:val="both"/>
              <w:rPr>
                <w:rFonts w:ascii="Calibri" w:hAnsi="Calibri" w:cs="Calibri"/>
                <w:lang w:val="en-IN"/>
              </w:rPr>
            </w:pPr>
            <w:r w:rsidRPr="005F2B38">
              <w:rPr>
                <w:rFonts w:ascii="Calibri" w:hAnsi="Calibri" w:cs="Calibri"/>
                <w:lang w:val="en-IN"/>
              </w:rPr>
              <w:t>Section 86(1)(e) of the Electricity Act, 2003</w:t>
            </w:r>
            <w:r w:rsidRPr="00B9001D">
              <w:rPr>
                <w:rFonts w:ascii="Calibri" w:hAnsi="Calibri" w:cs="Calibri"/>
                <w:lang w:val="en-IN"/>
              </w:rPr>
              <w:t>, which empowers State Electricity Regulatory Commissions (SERCs) to specify for distribution licensees a minimum percentage of power procurement from renewable sources.</w:t>
            </w:r>
          </w:p>
          <w:p w14:paraId="7EA8545E" w14:textId="77777777" w:rsidR="00B9001D" w:rsidRPr="00B9001D" w:rsidRDefault="00B9001D" w:rsidP="005F2B38">
            <w:pPr>
              <w:numPr>
                <w:ilvl w:val="0"/>
                <w:numId w:val="56"/>
              </w:numPr>
              <w:jc w:val="both"/>
              <w:rPr>
                <w:rFonts w:ascii="Calibri" w:hAnsi="Calibri" w:cs="Calibri"/>
                <w:lang w:val="en-IN"/>
              </w:rPr>
            </w:pPr>
            <w:proofErr w:type="spellStart"/>
            <w:r w:rsidRPr="005F2B38">
              <w:rPr>
                <w:rFonts w:ascii="Calibri" w:hAnsi="Calibri" w:cs="Calibri"/>
                <w:lang w:val="en-IN"/>
              </w:rPr>
              <w:t>MoP</w:t>
            </w:r>
            <w:proofErr w:type="spellEnd"/>
            <w:r w:rsidRPr="005F2B38">
              <w:rPr>
                <w:rFonts w:ascii="Calibri" w:hAnsi="Calibri" w:cs="Calibri"/>
                <w:lang w:val="en-IN"/>
              </w:rPr>
              <w:t xml:space="preserve"> Notification dated 22 July 2022</w:t>
            </w:r>
            <w:r w:rsidRPr="00B9001D">
              <w:rPr>
                <w:rFonts w:ascii="Calibri" w:hAnsi="Calibri" w:cs="Calibri"/>
                <w:lang w:val="en-IN"/>
              </w:rPr>
              <w:t>, which prescribes a national RPO trajectory (including wind, hydro, other RPO, and energy storage obligation) for FY 2022–23 to 2029–30. DISCOMs, as public entities, are the primary obligated buyers.</w:t>
            </w:r>
          </w:p>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2BC239C" w:rsidR="00DF50B5" w:rsidRPr="00610F28" w:rsidRDefault="00660ACD" w:rsidP="00610F28">
            <w:pPr>
              <w:rPr>
                <w:rFonts w:ascii="Calibri" w:hAnsi="Calibri" w:cs="Calibri"/>
              </w:rPr>
            </w:pPr>
            <w:r>
              <w:rPr>
                <w:rFonts w:ascii="Calibri" w:hAnsi="Calibri" w:cs="Calibri"/>
              </w:rPr>
              <w:t>X</w:t>
            </w: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27CC9C26" w:rsidR="00DF50B5" w:rsidRPr="00610F28" w:rsidRDefault="00660ACD"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59DD7859" w:rsidR="00DF50B5" w:rsidRPr="00610F28" w:rsidRDefault="00660ACD"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7B21AF3C" w:rsidR="00DF50B5" w:rsidRPr="00610F28" w:rsidRDefault="004D122A"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7C51B23D" w:rsidR="00DF50B5" w:rsidRPr="00610F28" w:rsidRDefault="004D122A"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w:t>
            </w:r>
            <w:r w:rsidRPr="00610F28">
              <w:rPr>
                <w:rStyle w:val="normaltextrun"/>
                <w:rFonts w:ascii="Calibri" w:hAnsi="Calibri" w:cs="Calibri"/>
                <w:lang w:val="en-US"/>
              </w:rPr>
              <w:lastRenderedPageBreak/>
              <w:t>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B14B7B6" w:rsidR="00DF50B5" w:rsidRPr="00610F28" w:rsidRDefault="004D122A"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108B7680" w:rsidR="00DF50B5" w:rsidRPr="00610F28" w:rsidRDefault="004D122A" w:rsidP="00610F28">
            <w:pPr>
              <w:rPr>
                <w:rFonts w:ascii="Calibri" w:hAnsi="Calibri" w:cs="Calibri"/>
              </w:rPr>
            </w:pPr>
            <w:r>
              <w:rPr>
                <w:rFonts w:ascii="Calibri" w:hAnsi="Calibri" w:cs="Calibri"/>
              </w:rPr>
              <w:t>X</w:t>
            </w:r>
          </w:p>
        </w:tc>
        <w:tc>
          <w:tcPr>
            <w:tcW w:w="1824" w:type="dxa"/>
            <w:vAlign w:val="center"/>
          </w:tcPr>
          <w:p w14:paraId="073D4DCE" w14:textId="3ADF9C97"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24ACF9C6" w14:textId="77777777" w:rsidR="004D122A" w:rsidRPr="004D122A" w:rsidRDefault="004D122A" w:rsidP="005F2B38">
            <w:pPr>
              <w:jc w:val="both"/>
              <w:rPr>
                <w:rFonts w:ascii="Calibri" w:hAnsi="Calibri" w:cs="Calibri"/>
                <w:lang w:val="en-IN"/>
              </w:rPr>
            </w:pPr>
            <w:r w:rsidRPr="004D122A">
              <w:rPr>
                <w:rFonts w:ascii="Calibri" w:hAnsi="Calibri" w:cs="Calibri"/>
                <w:lang w:val="en-IN"/>
              </w:rPr>
              <w:t xml:space="preserve">The RPO framework imposes </w:t>
            </w:r>
            <w:r w:rsidRPr="005F2B38">
              <w:rPr>
                <w:rFonts w:ascii="Calibri" w:hAnsi="Calibri" w:cs="Calibri"/>
                <w:lang w:val="en-IN"/>
              </w:rPr>
              <w:t>category-wise renewable procurement targets</w:t>
            </w:r>
            <w:r w:rsidRPr="004D122A">
              <w:rPr>
                <w:rFonts w:ascii="Calibri" w:hAnsi="Calibri" w:cs="Calibri"/>
                <w:lang w:val="en-IN"/>
              </w:rPr>
              <w:t>, including:</w:t>
            </w:r>
          </w:p>
          <w:p w14:paraId="1AF6E4F8" w14:textId="77777777" w:rsidR="004D122A" w:rsidRPr="004D122A" w:rsidRDefault="004D122A" w:rsidP="005F2B38">
            <w:pPr>
              <w:numPr>
                <w:ilvl w:val="0"/>
                <w:numId w:val="57"/>
              </w:numPr>
              <w:jc w:val="both"/>
              <w:rPr>
                <w:rFonts w:ascii="Calibri" w:hAnsi="Calibri" w:cs="Calibri"/>
                <w:lang w:val="en-IN"/>
              </w:rPr>
            </w:pPr>
            <w:r w:rsidRPr="005F2B38">
              <w:rPr>
                <w:rFonts w:ascii="Calibri" w:hAnsi="Calibri" w:cs="Calibri"/>
                <w:lang w:val="en-IN"/>
              </w:rPr>
              <w:t>Wind RPO</w:t>
            </w:r>
          </w:p>
          <w:p w14:paraId="0CBABC83" w14:textId="77777777" w:rsidR="004D122A" w:rsidRPr="004D122A" w:rsidRDefault="004D122A" w:rsidP="005F2B38">
            <w:pPr>
              <w:numPr>
                <w:ilvl w:val="0"/>
                <w:numId w:val="57"/>
              </w:numPr>
              <w:jc w:val="both"/>
              <w:rPr>
                <w:rFonts w:ascii="Calibri" w:hAnsi="Calibri" w:cs="Calibri"/>
                <w:lang w:val="en-IN"/>
              </w:rPr>
            </w:pPr>
            <w:r w:rsidRPr="005F2B38">
              <w:rPr>
                <w:rFonts w:ascii="Calibri" w:hAnsi="Calibri" w:cs="Calibri"/>
                <w:lang w:val="en-IN"/>
              </w:rPr>
              <w:t>Hydro Purchase Obligation (HPO)</w:t>
            </w:r>
          </w:p>
          <w:p w14:paraId="72DEACD4" w14:textId="77777777" w:rsidR="004D122A" w:rsidRPr="004D122A" w:rsidRDefault="004D122A" w:rsidP="005F2B38">
            <w:pPr>
              <w:numPr>
                <w:ilvl w:val="0"/>
                <w:numId w:val="57"/>
              </w:numPr>
              <w:jc w:val="both"/>
              <w:rPr>
                <w:rFonts w:ascii="Calibri" w:hAnsi="Calibri" w:cs="Calibri"/>
                <w:lang w:val="en-IN"/>
              </w:rPr>
            </w:pPr>
            <w:r w:rsidRPr="005F2B38">
              <w:rPr>
                <w:rFonts w:ascii="Calibri" w:hAnsi="Calibri" w:cs="Calibri"/>
                <w:lang w:val="en-IN"/>
              </w:rPr>
              <w:t>Other RPO (solar, biomass, etc.)</w:t>
            </w:r>
          </w:p>
          <w:p w14:paraId="6399268B" w14:textId="77777777" w:rsidR="004D122A" w:rsidRPr="004D122A" w:rsidRDefault="004D122A" w:rsidP="005F2B38">
            <w:pPr>
              <w:numPr>
                <w:ilvl w:val="0"/>
                <w:numId w:val="57"/>
              </w:numPr>
              <w:jc w:val="both"/>
              <w:rPr>
                <w:rFonts w:ascii="Calibri" w:hAnsi="Calibri" w:cs="Calibri"/>
                <w:lang w:val="en-IN"/>
              </w:rPr>
            </w:pPr>
            <w:r w:rsidRPr="005F2B38">
              <w:rPr>
                <w:rFonts w:ascii="Calibri" w:hAnsi="Calibri" w:cs="Calibri"/>
                <w:lang w:val="en-IN"/>
              </w:rPr>
              <w:t>Energy Storage Obligation (ESO)</w:t>
            </w:r>
          </w:p>
          <w:p w14:paraId="05688122" w14:textId="77777777" w:rsidR="004D122A" w:rsidRPr="004D122A" w:rsidRDefault="004D122A" w:rsidP="005F2B38">
            <w:pPr>
              <w:jc w:val="both"/>
              <w:rPr>
                <w:rFonts w:ascii="Calibri" w:hAnsi="Calibri" w:cs="Calibri"/>
                <w:lang w:val="en-IN"/>
              </w:rPr>
            </w:pPr>
            <w:r w:rsidRPr="004D122A">
              <w:rPr>
                <w:rFonts w:ascii="Calibri" w:hAnsi="Calibri" w:cs="Calibri"/>
                <w:lang w:val="en-IN"/>
              </w:rPr>
              <w:t xml:space="preserve">These are set as percentages of </w:t>
            </w:r>
            <w:r w:rsidRPr="005F2B38">
              <w:rPr>
                <w:rFonts w:ascii="Calibri" w:hAnsi="Calibri" w:cs="Calibri"/>
                <w:lang w:val="en-IN"/>
              </w:rPr>
              <w:t>total electricity consumption</w:t>
            </w:r>
            <w:r w:rsidRPr="004D122A">
              <w:rPr>
                <w:rFonts w:ascii="Calibri" w:hAnsi="Calibri" w:cs="Calibri"/>
                <w:lang w:val="en-IN"/>
              </w:rPr>
              <w:t xml:space="preserve"> to be procured from renewable and clean sources, as per the </w:t>
            </w:r>
            <w:proofErr w:type="spellStart"/>
            <w:r w:rsidRPr="005F2B38">
              <w:rPr>
                <w:rFonts w:ascii="Calibri" w:hAnsi="Calibri" w:cs="Calibri"/>
                <w:lang w:val="en-IN"/>
              </w:rPr>
              <w:t>MoP</w:t>
            </w:r>
            <w:proofErr w:type="spellEnd"/>
            <w:r w:rsidRPr="005F2B38">
              <w:rPr>
                <w:rFonts w:ascii="Calibri" w:hAnsi="Calibri" w:cs="Calibri"/>
                <w:lang w:val="en-IN"/>
              </w:rPr>
              <w:t xml:space="preserve"> Notification dated 22 July 2022</w:t>
            </w:r>
            <w:r w:rsidRPr="004D122A">
              <w:rPr>
                <w:rFonts w:ascii="Calibri" w:hAnsi="Calibri" w:cs="Calibri"/>
                <w:lang w:val="en-IN"/>
              </w:rPr>
              <w:t xml:space="preserve"> and are mandatory for DISCOMs.</w:t>
            </w:r>
          </w:p>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4BA6B1F0" w:rsidR="00DF50B5" w:rsidRPr="00610F28" w:rsidRDefault="00BA43CD"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3C956F5" w:rsidR="00DF50B5" w:rsidRPr="00610F28" w:rsidRDefault="00955F34"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7B1990B2" w:rsidR="00DF50B5" w:rsidRPr="00610F28" w:rsidRDefault="00AB1A1F"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6355AFA" w:rsidR="00DF50B5" w:rsidRPr="00610F28" w:rsidRDefault="00AB1A1F"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E579E65" w:rsidR="00DF50B5" w:rsidRPr="00610F28" w:rsidRDefault="00AB1A1F"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w:t>
            </w:r>
            <w:r w:rsidRPr="00610F28">
              <w:rPr>
                <w:rStyle w:val="normaltextrun"/>
                <w:rFonts w:ascii="Calibri" w:hAnsi="Calibri" w:cs="Calibri"/>
                <w:lang w:val="en-US"/>
              </w:rPr>
              <w:lastRenderedPageBreak/>
              <w:t xml:space="preserve">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D9360E5" w:rsidR="00DF50B5" w:rsidRPr="00610F28" w:rsidRDefault="00AB1A1F"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038F6FD" w:rsidR="00DF50B5" w:rsidRPr="00610F28" w:rsidRDefault="00AB1A1F"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6160AE06" w14:textId="77777777" w:rsidR="00080606" w:rsidRPr="00080606" w:rsidRDefault="00080606" w:rsidP="005F2B38">
            <w:pPr>
              <w:jc w:val="both"/>
              <w:rPr>
                <w:rFonts w:ascii="Calibri" w:hAnsi="Calibri" w:cs="Calibri"/>
                <w:lang w:val="en-IN"/>
              </w:rPr>
            </w:pPr>
            <w:r w:rsidRPr="00080606">
              <w:rPr>
                <w:rFonts w:ascii="Calibri" w:hAnsi="Calibri" w:cs="Calibri"/>
                <w:lang w:val="en-IN"/>
              </w:rPr>
              <w:t>The RPO framework requires public procuring entities (particularly state-owned DISCOMs) to align their power procurement planning with national climate objectives through year-wise renewable purchase targets. These are specified in:</w:t>
            </w:r>
          </w:p>
          <w:p w14:paraId="5500F711" w14:textId="46C5432C" w:rsidR="00080606" w:rsidRPr="00080606" w:rsidRDefault="00080606" w:rsidP="005F2B38">
            <w:pPr>
              <w:numPr>
                <w:ilvl w:val="0"/>
                <w:numId w:val="58"/>
              </w:numPr>
              <w:jc w:val="both"/>
              <w:rPr>
                <w:rFonts w:ascii="Calibri" w:hAnsi="Calibri" w:cs="Calibri"/>
                <w:lang w:val="en-IN"/>
              </w:rPr>
            </w:pPr>
            <w:r w:rsidRPr="005F2B38">
              <w:rPr>
                <w:rFonts w:ascii="Calibri" w:hAnsi="Calibri" w:cs="Calibri"/>
                <w:lang w:val="en-IN"/>
              </w:rPr>
              <w:t>Electricity Act, 2003</w:t>
            </w:r>
            <w:r w:rsidRPr="00080606">
              <w:rPr>
                <w:rFonts w:ascii="Calibri" w:hAnsi="Calibri" w:cs="Calibri"/>
                <w:lang w:val="en-IN"/>
              </w:rPr>
              <w:t>, Section 86(1)(e)</w:t>
            </w:r>
            <w:r>
              <w:rPr>
                <w:rFonts w:ascii="Calibri" w:hAnsi="Calibri" w:cs="Calibri"/>
                <w:lang w:val="en-IN"/>
              </w:rPr>
              <w:t xml:space="preserve">, </w:t>
            </w:r>
            <w:r w:rsidRPr="00080606">
              <w:rPr>
                <w:rFonts w:ascii="Calibri" w:hAnsi="Calibri" w:cs="Calibri"/>
                <w:lang w:val="en-IN"/>
              </w:rPr>
              <w:t>empowers SERCs to set RPO targets for DISCOMs.</w:t>
            </w:r>
          </w:p>
          <w:p w14:paraId="21132DAE" w14:textId="3327EF57" w:rsidR="00080606" w:rsidRPr="00080606" w:rsidRDefault="00080606" w:rsidP="005F2B38">
            <w:pPr>
              <w:numPr>
                <w:ilvl w:val="0"/>
                <w:numId w:val="58"/>
              </w:numPr>
              <w:jc w:val="both"/>
              <w:rPr>
                <w:rFonts w:ascii="Calibri" w:hAnsi="Calibri" w:cs="Calibri"/>
                <w:lang w:val="en-IN"/>
              </w:rPr>
            </w:pPr>
            <w:proofErr w:type="spellStart"/>
            <w:r w:rsidRPr="005F2B38">
              <w:rPr>
                <w:rFonts w:ascii="Calibri" w:hAnsi="Calibri" w:cs="Calibri"/>
                <w:lang w:val="en-IN"/>
              </w:rPr>
              <w:t>MoP</w:t>
            </w:r>
            <w:proofErr w:type="spellEnd"/>
            <w:r w:rsidRPr="005F2B38">
              <w:rPr>
                <w:rFonts w:ascii="Calibri" w:hAnsi="Calibri" w:cs="Calibri"/>
                <w:lang w:val="en-IN"/>
              </w:rPr>
              <w:t xml:space="preserve"> Notification dated 22 July 2022</w:t>
            </w:r>
            <w:r>
              <w:rPr>
                <w:rFonts w:ascii="Calibri" w:hAnsi="Calibri" w:cs="Calibri"/>
                <w:lang w:val="en-IN"/>
              </w:rPr>
              <w:t xml:space="preserve">, </w:t>
            </w:r>
            <w:r w:rsidRPr="00080606">
              <w:rPr>
                <w:rFonts w:ascii="Calibri" w:hAnsi="Calibri" w:cs="Calibri"/>
                <w:lang w:val="en-IN"/>
              </w:rPr>
              <w:t>specifies the national RPO + ESO trajectory till FY 2029–30.</w:t>
            </w:r>
          </w:p>
          <w:p w14:paraId="77CC3244" w14:textId="69EF0547" w:rsidR="00080606" w:rsidRPr="00080606" w:rsidRDefault="00080606" w:rsidP="005F2B38">
            <w:pPr>
              <w:numPr>
                <w:ilvl w:val="0"/>
                <w:numId w:val="58"/>
              </w:numPr>
              <w:jc w:val="both"/>
              <w:rPr>
                <w:rFonts w:ascii="Calibri" w:hAnsi="Calibri" w:cs="Calibri"/>
                <w:lang w:val="en-IN"/>
              </w:rPr>
            </w:pPr>
            <w:r w:rsidRPr="005F2B38">
              <w:rPr>
                <w:rFonts w:ascii="Calibri" w:hAnsi="Calibri" w:cs="Calibri"/>
                <w:lang w:val="en-IN"/>
              </w:rPr>
              <w:t>State ERC Regulations</w:t>
            </w:r>
            <w:r>
              <w:rPr>
                <w:rFonts w:ascii="Calibri" w:hAnsi="Calibri" w:cs="Calibri"/>
                <w:lang w:val="en-IN"/>
              </w:rPr>
              <w:t xml:space="preserve">, </w:t>
            </w:r>
            <w:r w:rsidRPr="00080606">
              <w:rPr>
                <w:rFonts w:ascii="Calibri" w:hAnsi="Calibri" w:cs="Calibri"/>
                <w:lang w:val="en-IN"/>
              </w:rPr>
              <w:t xml:space="preserve">implement </w:t>
            </w:r>
            <w:proofErr w:type="spellStart"/>
            <w:r w:rsidRPr="00080606">
              <w:rPr>
                <w:rFonts w:ascii="Calibri" w:hAnsi="Calibri" w:cs="Calibri"/>
                <w:lang w:val="en-IN"/>
              </w:rPr>
              <w:t>MoP</w:t>
            </w:r>
            <w:proofErr w:type="spellEnd"/>
            <w:r w:rsidRPr="00080606">
              <w:rPr>
                <w:rFonts w:ascii="Calibri" w:hAnsi="Calibri" w:cs="Calibri"/>
                <w:lang w:val="en-IN"/>
              </w:rPr>
              <w:t xml:space="preserve"> targets and require DISCOMs to submit procurement plans, RPO compliance reports, and REC purchase details.</w:t>
            </w:r>
          </w:p>
          <w:p w14:paraId="6FB15489" w14:textId="77777777" w:rsidR="00080606" w:rsidRPr="00080606" w:rsidRDefault="00080606" w:rsidP="005F2B38">
            <w:pPr>
              <w:jc w:val="both"/>
              <w:rPr>
                <w:rFonts w:ascii="Calibri" w:hAnsi="Calibri" w:cs="Calibri"/>
                <w:lang w:val="en-IN"/>
              </w:rPr>
            </w:pPr>
            <w:r w:rsidRPr="00080606">
              <w:rPr>
                <w:rFonts w:ascii="Calibri" w:hAnsi="Calibri" w:cs="Calibri"/>
                <w:lang w:val="en-IN"/>
              </w:rPr>
              <w:t xml:space="preserve">This effectively integrates climate alignment into </w:t>
            </w:r>
            <w:r w:rsidRPr="005F2B38">
              <w:rPr>
                <w:rFonts w:ascii="Calibri" w:hAnsi="Calibri" w:cs="Calibri"/>
                <w:lang w:val="en-IN"/>
              </w:rPr>
              <w:t>public procurement cycles in the electricity sector</w:t>
            </w:r>
            <w:r w:rsidRPr="00080606">
              <w:rPr>
                <w:rFonts w:ascii="Calibri" w:hAnsi="Calibri" w:cs="Calibri"/>
                <w:lang w:val="en-IN"/>
              </w:rPr>
              <w:t xml:space="preserve"> through </w:t>
            </w:r>
            <w:r w:rsidRPr="005F2B38">
              <w:rPr>
                <w:rFonts w:ascii="Calibri" w:hAnsi="Calibri" w:cs="Calibri"/>
                <w:lang w:val="en-IN"/>
              </w:rPr>
              <w:t>legally binding renewable energy quotas</w:t>
            </w:r>
            <w:r w:rsidRPr="00080606">
              <w:rPr>
                <w:rFonts w:ascii="Calibri" w:hAnsi="Calibri" w:cs="Calibri"/>
                <w:lang w:val="en-IN"/>
              </w:rPr>
              <w:t>.</w:t>
            </w:r>
          </w:p>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lastRenderedPageBreak/>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 xml:space="preserve">(e.g. energy or fuel consumption, monetized </w:t>
            </w:r>
            <w:r w:rsidRPr="00971C0E">
              <w:rPr>
                <w:rStyle w:val="normaltextrun"/>
                <w:rFonts w:cstheme="minorHAnsi"/>
                <w:color w:val="000000"/>
              </w:rPr>
              <w:lastRenderedPageBreak/>
              <w:t>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54FF53D4" w:rsidR="00A56BE5" w:rsidRPr="00971C0E" w:rsidRDefault="001D365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1C0977EC" w:rsidR="00A56BE5" w:rsidRPr="00971C0E" w:rsidRDefault="001D365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39132118" w:rsidR="00A56BE5" w:rsidRPr="00971C0E" w:rsidRDefault="001D365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3442D79" w:rsidR="00D94180" w:rsidRPr="0016463C" w:rsidRDefault="0016463C" w:rsidP="005F2B38">
            <w:pPr>
              <w:jc w:val="both"/>
              <w:rPr>
                <w:rStyle w:val="normaltextrun"/>
                <w:rFonts w:cstheme="minorHAnsi"/>
                <w:color w:val="000000"/>
                <w:shd w:val="clear" w:color="auto" w:fill="FFFFFF"/>
                <w:lang w:val="en-US"/>
              </w:rPr>
            </w:pPr>
            <w:r w:rsidRPr="0016463C">
              <w:rPr>
                <w:rFonts w:cstheme="minorHAnsi"/>
                <w:color w:val="000000"/>
                <w:shd w:val="clear" w:color="auto" w:fill="FFFFFF"/>
              </w:rPr>
              <w:t xml:space="preserve">The RPO framework does </w:t>
            </w:r>
            <w:r w:rsidRPr="005F2B38">
              <w:rPr>
                <w:rFonts w:cstheme="minorHAnsi"/>
                <w:color w:val="000000"/>
                <w:shd w:val="clear" w:color="auto" w:fill="FFFFFF"/>
              </w:rPr>
              <w:t>not include any provisions</w:t>
            </w:r>
            <w:r w:rsidRPr="0016463C">
              <w:rPr>
                <w:rFonts w:cstheme="minorHAnsi"/>
                <w:color w:val="000000"/>
                <w:shd w:val="clear" w:color="auto" w:fill="FFFFFF"/>
              </w:rPr>
              <w:t xml:space="preserve"> that allow, recommend, or require the use of </w:t>
            </w:r>
            <w:r w:rsidRPr="005F2B38">
              <w:rPr>
                <w:rFonts w:cstheme="minorHAnsi"/>
                <w:color w:val="000000"/>
                <w:shd w:val="clear" w:color="auto" w:fill="FFFFFF"/>
              </w:rPr>
              <w:t>life-cycle costing (LCC)</w:t>
            </w:r>
            <w:r w:rsidRPr="0016463C">
              <w:rPr>
                <w:rFonts w:cstheme="minorHAnsi"/>
                <w:color w:val="000000"/>
                <w:shd w:val="clear" w:color="auto" w:fill="FFFFFF"/>
              </w:rPr>
              <w:t xml:space="preserve"> or </w:t>
            </w:r>
            <w:r w:rsidRPr="005F2B38">
              <w:rPr>
                <w:rFonts w:cstheme="minorHAnsi"/>
                <w:color w:val="000000"/>
                <w:shd w:val="clear" w:color="auto" w:fill="FFFFFF"/>
              </w:rPr>
              <w:t>whole-life costing</w:t>
            </w:r>
            <w:r w:rsidRPr="0016463C">
              <w:rPr>
                <w:rFonts w:cstheme="minorHAnsi"/>
                <w:color w:val="000000"/>
                <w:shd w:val="clear" w:color="auto" w:fill="FFFFFF"/>
              </w:rPr>
              <w:t xml:space="preserve"> in the procurement of electricity or renewable energy. Obligated entities (e.g. state DISCOMs) are mandated to procure a minimum percentage of power from renewable sources, but the framework is </w:t>
            </w:r>
            <w:r w:rsidRPr="005F2B38">
              <w:rPr>
                <w:rFonts w:cstheme="minorHAnsi"/>
                <w:color w:val="000000"/>
                <w:shd w:val="clear" w:color="auto" w:fill="FFFFFF"/>
              </w:rPr>
              <w:t>target-based</w:t>
            </w:r>
            <w:r w:rsidRPr="0016463C">
              <w:rPr>
                <w:rFonts w:cstheme="minorHAnsi"/>
                <w:color w:val="000000"/>
                <w:shd w:val="clear" w:color="auto" w:fill="FFFFFF"/>
              </w:rPr>
              <w:t xml:space="preserve">, not cost-based, and does </w:t>
            </w:r>
            <w:r w:rsidRPr="005F2B38">
              <w:rPr>
                <w:rFonts w:cstheme="minorHAnsi"/>
                <w:color w:val="000000"/>
                <w:shd w:val="clear" w:color="auto" w:fill="FFFFFF"/>
              </w:rPr>
              <w:t>not prescribe LCC methodologies</w:t>
            </w:r>
            <w:r w:rsidRPr="0016463C">
              <w:rPr>
                <w:rFonts w:cstheme="minorHAnsi"/>
                <w:color w:val="000000"/>
                <w:shd w:val="clear" w:color="auto" w:fill="FFFFFF"/>
              </w:rPr>
              <w:t xml:space="preserve"> or integrate environmental externalities monetarily into procurement valuation.</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44D08545" w:rsidR="008A4685" w:rsidRPr="00610F28" w:rsidRDefault="0016463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0F7A67C3" w:rsidR="008A4685" w:rsidRPr="00610F28" w:rsidRDefault="0016463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4DD009F6" w:rsidR="008A4685" w:rsidRPr="00610F28" w:rsidRDefault="0016463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420FDD46" w:rsidR="008A4685" w:rsidRPr="00610F28" w:rsidRDefault="00CF289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5FC7FCC3" w14:textId="2F52B3F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w:t>
            </w:r>
            <w:r w:rsidRPr="00610F28">
              <w:rPr>
                <w:rStyle w:val="normaltextrun"/>
                <w:rFonts w:ascii="Calibri" w:hAnsi="Calibri" w:cs="Calibri"/>
                <w:lang w:val="en-US"/>
              </w:rPr>
              <w:lastRenderedPageBreak/>
              <w:t>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1D125D99" w:rsidR="008A4685" w:rsidRPr="00610F28" w:rsidRDefault="0016463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111D322B" w:rsidR="008A4685" w:rsidRPr="00610F28" w:rsidRDefault="0016463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5F722F35" w14:textId="77777777" w:rsidR="001872DE" w:rsidRPr="001872DE" w:rsidRDefault="001872DE" w:rsidP="005F2B38">
            <w:pPr>
              <w:jc w:val="both"/>
              <w:rPr>
                <w:rFonts w:ascii="Calibri" w:hAnsi="Calibri" w:cs="Calibri"/>
                <w:color w:val="000000"/>
                <w:shd w:val="clear" w:color="auto" w:fill="FFFFFF"/>
                <w:lang w:val="en-IN"/>
              </w:rPr>
            </w:pPr>
            <w:r w:rsidRPr="001872DE">
              <w:rPr>
                <w:rFonts w:ascii="Calibri" w:hAnsi="Calibri" w:cs="Calibri"/>
                <w:color w:val="000000"/>
                <w:shd w:val="clear" w:color="auto" w:fill="FFFFFF"/>
                <w:lang w:val="en-IN"/>
              </w:rPr>
              <w:t xml:space="preserve">Under the RPO framework, the only requirement at the </w:t>
            </w:r>
            <w:r w:rsidRPr="005F2B38">
              <w:rPr>
                <w:rFonts w:ascii="Calibri" w:hAnsi="Calibri" w:cs="Calibri"/>
                <w:color w:val="000000"/>
                <w:shd w:val="clear" w:color="auto" w:fill="FFFFFF"/>
                <w:lang w:val="en-IN"/>
              </w:rPr>
              <w:t>tendering stage</w:t>
            </w:r>
            <w:r w:rsidRPr="001872DE">
              <w:rPr>
                <w:rFonts w:ascii="Calibri" w:hAnsi="Calibri" w:cs="Calibri"/>
                <w:color w:val="000000"/>
                <w:shd w:val="clear" w:color="auto" w:fill="FFFFFF"/>
                <w:lang w:val="en-IN"/>
              </w:rPr>
              <w:t xml:space="preserve"> that relates to climate considerations is the </w:t>
            </w:r>
            <w:r w:rsidRPr="005F2B38">
              <w:rPr>
                <w:rFonts w:ascii="Calibri" w:hAnsi="Calibri" w:cs="Calibri"/>
                <w:color w:val="000000"/>
                <w:shd w:val="clear" w:color="auto" w:fill="FFFFFF"/>
                <w:lang w:val="en-IN"/>
              </w:rPr>
              <w:t>technical specification</w:t>
            </w:r>
            <w:r w:rsidRPr="001872DE">
              <w:rPr>
                <w:rFonts w:ascii="Calibri" w:hAnsi="Calibri" w:cs="Calibri"/>
                <w:color w:val="000000"/>
                <w:shd w:val="clear" w:color="auto" w:fill="FFFFFF"/>
                <w:lang w:val="en-IN"/>
              </w:rPr>
              <w:t xml:space="preserve"> for public electricity procurement by DISCOMs: they must </w:t>
            </w:r>
            <w:r w:rsidRPr="005F2B38">
              <w:rPr>
                <w:rFonts w:ascii="Calibri" w:hAnsi="Calibri" w:cs="Calibri"/>
                <w:color w:val="000000"/>
                <w:shd w:val="clear" w:color="auto" w:fill="FFFFFF"/>
                <w:lang w:val="en-IN"/>
              </w:rPr>
              <w:t>procure a minimum percentage of their electricity from renewable energy sources</w:t>
            </w:r>
            <w:r w:rsidRPr="001872DE">
              <w:rPr>
                <w:rFonts w:ascii="Calibri" w:hAnsi="Calibri" w:cs="Calibri"/>
                <w:color w:val="000000"/>
                <w:shd w:val="clear" w:color="auto" w:fill="FFFFFF"/>
                <w:lang w:val="en-IN"/>
              </w:rPr>
              <w:t xml:space="preserve"> (wind, solar, hydro, </w:t>
            </w:r>
            <w:proofErr w:type="gramStart"/>
            <w:r w:rsidRPr="001872DE">
              <w:rPr>
                <w:rFonts w:ascii="Calibri" w:hAnsi="Calibri" w:cs="Calibri"/>
                <w:color w:val="000000"/>
                <w:shd w:val="clear" w:color="auto" w:fill="FFFFFF"/>
                <w:lang w:val="en-IN"/>
              </w:rPr>
              <w:t>storage-backed</w:t>
            </w:r>
            <w:proofErr w:type="gramEnd"/>
            <w:r w:rsidRPr="001872DE">
              <w:rPr>
                <w:rFonts w:ascii="Calibri" w:hAnsi="Calibri" w:cs="Calibri"/>
                <w:color w:val="000000"/>
                <w:shd w:val="clear" w:color="auto" w:fill="FFFFFF"/>
                <w:lang w:val="en-IN"/>
              </w:rPr>
              <w:t xml:space="preserve"> RE, etc.).</w:t>
            </w:r>
          </w:p>
          <w:p w14:paraId="3A89DE65" w14:textId="77777777" w:rsidR="001872DE" w:rsidRPr="001872DE" w:rsidRDefault="001872DE" w:rsidP="005F2B38">
            <w:pPr>
              <w:jc w:val="both"/>
              <w:rPr>
                <w:rFonts w:ascii="Calibri" w:hAnsi="Calibri" w:cs="Calibri"/>
                <w:color w:val="000000"/>
                <w:shd w:val="clear" w:color="auto" w:fill="FFFFFF"/>
                <w:lang w:val="en-IN"/>
              </w:rPr>
            </w:pPr>
            <w:r w:rsidRPr="001872DE">
              <w:rPr>
                <w:rFonts w:ascii="Calibri" w:hAnsi="Calibri" w:cs="Calibri"/>
                <w:color w:val="000000"/>
                <w:shd w:val="clear" w:color="auto" w:fill="FFFFFF"/>
                <w:lang w:val="en-IN"/>
              </w:rPr>
              <w:t>This is mandated via:</w:t>
            </w:r>
          </w:p>
          <w:p w14:paraId="56258FDF" w14:textId="3D0BE30C" w:rsidR="001872DE" w:rsidRPr="001872DE" w:rsidRDefault="001872DE" w:rsidP="005F2B38">
            <w:pPr>
              <w:numPr>
                <w:ilvl w:val="0"/>
                <w:numId w:val="59"/>
              </w:numPr>
              <w:jc w:val="both"/>
              <w:rPr>
                <w:rFonts w:ascii="Calibri" w:hAnsi="Calibri" w:cs="Calibri"/>
                <w:color w:val="000000"/>
                <w:shd w:val="clear" w:color="auto" w:fill="FFFFFF"/>
                <w:lang w:val="en-IN"/>
              </w:rPr>
            </w:pPr>
            <w:r w:rsidRPr="005F2B38">
              <w:rPr>
                <w:rFonts w:ascii="Calibri" w:hAnsi="Calibri" w:cs="Calibri"/>
                <w:color w:val="000000"/>
                <w:shd w:val="clear" w:color="auto" w:fill="FFFFFF"/>
                <w:lang w:val="en-IN"/>
              </w:rPr>
              <w:t>Trajectory Notification (2022)</w:t>
            </w:r>
            <w:r>
              <w:rPr>
                <w:rFonts w:ascii="Calibri" w:hAnsi="Calibri" w:cs="Calibri"/>
                <w:color w:val="000000"/>
                <w:shd w:val="clear" w:color="auto" w:fill="FFFFFF"/>
                <w:lang w:val="en-IN"/>
              </w:rPr>
              <w:t xml:space="preserve">, </w:t>
            </w:r>
            <w:r w:rsidRPr="001872DE">
              <w:rPr>
                <w:rFonts w:ascii="Calibri" w:hAnsi="Calibri" w:cs="Calibri"/>
                <w:color w:val="000000"/>
                <w:shd w:val="clear" w:color="auto" w:fill="FFFFFF"/>
                <w:lang w:val="en-IN"/>
              </w:rPr>
              <w:t>which sets year-wise renewable procurement percentages for DISCOMs (e.g., 29.91% in 2024–25, 33.01% in 2025–26).</w:t>
            </w:r>
          </w:p>
          <w:p w14:paraId="7A0D4D47" w14:textId="75CE7B1A" w:rsidR="001872DE" w:rsidRPr="001872DE" w:rsidRDefault="001872DE" w:rsidP="005F2B38">
            <w:pPr>
              <w:numPr>
                <w:ilvl w:val="0"/>
                <w:numId w:val="59"/>
              </w:numPr>
              <w:jc w:val="both"/>
              <w:rPr>
                <w:rFonts w:ascii="Calibri" w:hAnsi="Calibri" w:cs="Calibri"/>
                <w:color w:val="000000"/>
                <w:shd w:val="clear" w:color="auto" w:fill="FFFFFF"/>
                <w:lang w:val="en-IN"/>
              </w:rPr>
            </w:pPr>
            <w:r w:rsidRPr="005F2B38">
              <w:rPr>
                <w:rFonts w:ascii="Calibri" w:hAnsi="Calibri" w:cs="Calibri"/>
                <w:color w:val="000000"/>
                <w:shd w:val="clear" w:color="auto" w:fill="FFFFFF"/>
                <w:lang w:val="en-IN"/>
              </w:rPr>
              <w:t>SERC RPO Regulations</w:t>
            </w:r>
            <w:r>
              <w:rPr>
                <w:rFonts w:ascii="Calibri" w:hAnsi="Calibri" w:cs="Calibri"/>
                <w:color w:val="000000"/>
                <w:shd w:val="clear" w:color="auto" w:fill="FFFFFF"/>
                <w:lang w:val="en-IN"/>
              </w:rPr>
              <w:t xml:space="preserve">, </w:t>
            </w:r>
            <w:r w:rsidRPr="001872DE">
              <w:rPr>
                <w:rFonts w:ascii="Calibri" w:hAnsi="Calibri" w:cs="Calibri"/>
                <w:color w:val="000000"/>
                <w:shd w:val="clear" w:color="auto" w:fill="FFFFFF"/>
                <w:lang w:val="en-IN"/>
              </w:rPr>
              <w:t>which enforce these procurement targets through tariff orders or procurement planning processes.</w:t>
            </w:r>
          </w:p>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24A9B309"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2337DA16"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0F858822"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65DC91A7"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476B8D6A" w:rsidR="008A4685" w:rsidRPr="00CF2E7C" w:rsidRDefault="00A25DDA"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lastRenderedPageBreak/>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6BBC91B4" w14:textId="77777777" w:rsidR="00FA064B" w:rsidRPr="00FA064B" w:rsidRDefault="00FA064B" w:rsidP="005F2B38">
            <w:pPr>
              <w:jc w:val="both"/>
              <w:rPr>
                <w:rFonts w:ascii="Calibri" w:hAnsi="Calibri" w:cs="Calibri"/>
                <w:color w:val="000000"/>
                <w:shd w:val="clear" w:color="auto" w:fill="FFFFFF"/>
                <w:lang w:val="en-IN"/>
              </w:rPr>
            </w:pPr>
            <w:r w:rsidRPr="00FA064B">
              <w:rPr>
                <w:rFonts w:ascii="Calibri" w:hAnsi="Calibri" w:cs="Calibri"/>
                <w:color w:val="000000"/>
                <w:shd w:val="clear" w:color="auto" w:fill="FFFFFF"/>
                <w:lang w:val="en-IN"/>
              </w:rPr>
              <w:t xml:space="preserve">The RPO framework does </w:t>
            </w:r>
            <w:r w:rsidRPr="005F2B38">
              <w:rPr>
                <w:rFonts w:ascii="Calibri" w:hAnsi="Calibri" w:cs="Calibri"/>
                <w:color w:val="000000"/>
                <w:shd w:val="clear" w:color="auto" w:fill="FFFFFF"/>
                <w:lang w:val="en-IN"/>
              </w:rPr>
              <w:t>not contain any exclusion or debarment provisions</w:t>
            </w:r>
            <w:r w:rsidRPr="00FA064B">
              <w:rPr>
                <w:rFonts w:ascii="Calibri" w:hAnsi="Calibri" w:cs="Calibri"/>
                <w:color w:val="000000"/>
                <w:shd w:val="clear" w:color="auto" w:fill="FFFFFF"/>
                <w:lang w:val="en-IN"/>
              </w:rPr>
              <w:t xml:space="preserve"> based on climate change obligations, environmental offences, or ESG-related corporate conduct. It focuses exclusively on ensuring that </w:t>
            </w:r>
            <w:r w:rsidRPr="005F2B38">
              <w:rPr>
                <w:rFonts w:ascii="Calibri" w:hAnsi="Calibri" w:cs="Calibri"/>
                <w:color w:val="000000"/>
                <w:shd w:val="clear" w:color="auto" w:fill="FFFFFF"/>
                <w:lang w:val="en-IN"/>
              </w:rPr>
              <w:t>public distribution licensees (such as DISCOMs)</w:t>
            </w:r>
            <w:r w:rsidRPr="00FA064B">
              <w:rPr>
                <w:rFonts w:ascii="Calibri" w:hAnsi="Calibri" w:cs="Calibri"/>
                <w:color w:val="000000"/>
                <w:shd w:val="clear" w:color="auto" w:fill="FFFFFF"/>
                <w:lang w:val="en-IN"/>
              </w:rPr>
              <w:t xml:space="preserve"> procure a mandated percentage of their electricity from renewable sources.</w:t>
            </w:r>
          </w:p>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66B5A91E"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1DFDF5EC"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6A1805C"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8CF4AE"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2AC2955F"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1ADE89DA"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6216697B"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21B2C895"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0B9D8C8E"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lastRenderedPageBreak/>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2901FE6F" w:rsidR="008A4685" w:rsidRPr="00CF2E7C" w:rsidRDefault="00A25DD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0D9B8CF5" w14:textId="77777777" w:rsidR="00FA064B" w:rsidRPr="00C10E1C" w:rsidRDefault="00FA064B" w:rsidP="005F2B38">
            <w:pPr>
              <w:jc w:val="both"/>
              <w:rPr>
                <w:rFonts w:ascii="Calibri" w:hAnsi="Calibri" w:cs="Calibri"/>
                <w:color w:val="000000"/>
                <w:shd w:val="clear" w:color="auto" w:fill="FFFFFF"/>
                <w:lang w:val="en-IN"/>
              </w:rPr>
            </w:pPr>
            <w:r w:rsidRPr="00C10E1C">
              <w:rPr>
                <w:rFonts w:ascii="Calibri" w:hAnsi="Calibri" w:cs="Calibri"/>
                <w:color w:val="000000"/>
                <w:shd w:val="clear" w:color="auto" w:fill="FFFFFF"/>
                <w:lang w:val="en-IN"/>
              </w:rPr>
              <w:t xml:space="preserve">The RPO policy tool does not make any allowance, recommendation, or requirement regarding supplier selection or qualification criteria related to climate change. It operates through mandated procurement targets for state-owned electricity buyers (DISCOMs), not through </w:t>
            </w:r>
            <w:proofErr w:type="gramStart"/>
            <w:r w:rsidRPr="00C10E1C">
              <w:rPr>
                <w:rFonts w:ascii="Calibri" w:hAnsi="Calibri" w:cs="Calibri"/>
                <w:color w:val="000000"/>
                <w:shd w:val="clear" w:color="auto" w:fill="FFFFFF"/>
                <w:lang w:val="en-IN"/>
              </w:rPr>
              <w:t>general public</w:t>
            </w:r>
            <w:proofErr w:type="gramEnd"/>
            <w:r w:rsidRPr="00C10E1C">
              <w:rPr>
                <w:rFonts w:ascii="Calibri" w:hAnsi="Calibri" w:cs="Calibri"/>
                <w:color w:val="000000"/>
                <w:shd w:val="clear" w:color="auto" w:fill="FFFFFF"/>
                <w:lang w:val="en-IN"/>
              </w:rPr>
              <w:t xml:space="preserve"> tendering frameworks that assess or score suppliers based on climate credentials.</w:t>
            </w:r>
          </w:p>
          <w:p w14:paraId="237B4C53" w14:textId="77777777" w:rsidR="00FA064B" w:rsidRPr="00C10E1C" w:rsidRDefault="00FA064B" w:rsidP="005F2B38">
            <w:pPr>
              <w:jc w:val="both"/>
              <w:rPr>
                <w:rFonts w:ascii="Calibri" w:hAnsi="Calibri" w:cs="Calibri"/>
                <w:color w:val="000000"/>
                <w:shd w:val="clear" w:color="auto" w:fill="FFFFFF"/>
                <w:lang w:val="en-IN"/>
              </w:rPr>
            </w:pPr>
            <w:r w:rsidRPr="00C10E1C">
              <w:rPr>
                <w:rFonts w:ascii="Calibri" w:hAnsi="Calibri" w:cs="Calibri"/>
                <w:color w:val="000000"/>
                <w:shd w:val="clear" w:color="auto" w:fill="FFFFFF"/>
                <w:lang w:val="en-IN"/>
              </w:rPr>
              <w:t>DISCOMs are free to source renewable energy through bilateral contracts, competitive bidding, or exchanges—but the selection of generators or suppliers is not governed by climate-related supplier qualifications under the RPO regulations.</w:t>
            </w:r>
          </w:p>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23DD4155"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13BD9AF5"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472997E0"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0EF16CAB"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4119695D"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15D2AF7F"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67A1C00E"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584687D"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lastRenderedPageBreak/>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4811D68D"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4F6EEEAE"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3A089B08"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2D2A1EC9"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0A7BFBDB" w:rsidR="008A4685" w:rsidRPr="00CF2E7C" w:rsidRDefault="001C0F0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1F11C312" w14:textId="77777777" w:rsidR="00167CB4" w:rsidRPr="00167CB4" w:rsidRDefault="00167CB4" w:rsidP="005F2B38">
            <w:pPr>
              <w:jc w:val="both"/>
              <w:rPr>
                <w:rFonts w:ascii="Calibri" w:hAnsi="Calibri" w:cs="Calibri"/>
                <w:color w:val="000000"/>
                <w:shd w:val="clear" w:color="auto" w:fill="FFFFFF"/>
                <w:lang w:val="en-IN"/>
              </w:rPr>
            </w:pPr>
            <w:r w:rsidRPr="00167CB4">
              <w:rPr>
                <w:rFonts w:ascii="Calibri" w:hAnsi="Calibri" w:cs="Calibri"/>
                <w:color w:val="000000"/>
                <w:shd w:val="clear" w:color="auto" w:fill="FFFFFF"/>
                <w:lang w:val="en-IN"/>
              </w:rPr>
              <w:t xml:space="preserve">The </w:t>
            </w:r>
            <w:r w:rsidRPr="005F2B38">
              <w:rPr>
                <w:rFonts w:ascii="Calibri" w:hAnsi="Calibri" w:cs="Calibri"/>
                <w:color w:val="000000"/>
                <w:shd w:val="clear" w:color="auto" w:fill="FFFFFF"/>
                <w:lang w:val="en-IN"/>
              </w:rPr>
              <w:t>RPO framework mandates that public electricity procurement by DISCOMs must meet specific technical specifications</w:t>
            </w:r>
            <w:r w:rsidRPr="00167CB4">
              <w:rPr>
                <w:rFonts w:ascii="Calibri" w:hAnsi="Calibri" w:cs="Calibri"/>
                <w:color w:val="000000"/>
                <w:shd w:val="clear" w:color="auto" w:fill="FFFFFF"/>
                <w:lang w:val="en-IN"/>
              </w:rPr>
              <w:t>, including:</w:t>
            </w:r>
          </w:p>
          <w:p w14:paraId="07755C30" w14:textId="77777777" w:rsidR="00167CB4" w:rsidRPr="00167CB4" w:rsidRDefault="00167CB4" w:rsidP="005F2B38">
            <w:pPr>
              <w:numPr>
                <w:ilvl w:val="0"/>
                <w:numId w:val="60"/>
              </w:numPr>
              <w:jc w:val="both"/>
              <w:rPr>
                <w:rFonts w:ascii="Calibri" w:hAnsi="Calibri" w:cs="Calibri"/>
                <w:color w:val="000000"/>
                <w:shd w:val="clear" w:color="auto" w:fill="FFFFFF"/>
                <w:lang w:val="en-IN"/>
              </w:rPr>
            </w:pPr>
            <w:r w:rsidRPr="00167CB4">
              <w:rPr>
                <w:rFonts w:ascii="Calibri" w:hAnsi="Calibri" w:cs="Calibri"/>
                <w:color w:val="000000"/>
                <w:shd w:val="clear" w:color="auto" w:fill="FFFFFF"/>
                <w:lang w:val="en-IN"/>
              </w:rPr>
              <w:t xml:space="preserve">Procuring a </w:t>
            </w:r>
            <w:r w:rsidRPr="005F2B38">
              <w:rPr>
                <w:rFonts w:ascii="Calibri" w:hAnsi="Calibri" w:cs="Calibri"/>
                <w:color w:val="000000"/>
                <w:shd w:val="clear" w:color="auto" w:fill="FFFFFF"/>
                <w:lang w:val="en-IN"/>
              </w:rPr>
              <w:t>minimum percentage of electricity from renewable energy sources</w:t>
            </w:r>
            <w:r w:rsidRPr="00167CB4">
              <w:rPr>
                <w:rFonts w:ascii="Calibri" w:hAnsi="Calibri" w:cs="Calibri"/>
                <w:color w:val="000000"/>
                <w:shd w:val="clear" w:color="auto" w:fill="FFFFFF"/>
                <w:lang w:val="en-IN"/>
              </w:rPr>
              <w:t xml:space="preserve"> (wind, hydro, other RPO, energy storage), as per the </w:t>
            </w:r>
            <w:proofErr w:type="spellStart"/>
            <w:r w:rsidRPr="005F2B38">
              <w:rPr>
                <w:rFonts w:ascii="Calibri" w:hAnsi="Calibri" w:cs="Calibri"/>
                <w:color w:val="000000"/>
                <w:shd w:val="clear" w:color="auto" w:fill="FFFFFF"/>
                <w:lang w:val="en-IN"/>
              </w:rPr>
              <w:t>MoP</w:t>
            </w:r>
            <w:proofErr w:type="spellEnd"/>
            <w:r w:rsidRPr="005F2B38">
              <w:rPr>
                <w:rFonts w:ascii="Calibri" w:hAnsi="Calibri" w:cs="Calibri"/>
                <w:color w:val="000000"/>
                <w:shd w:val="clear" w:color="auto" w:fill="FFFFFF"/>
                <w:lang w:val="en-IN"/>
              </w:rPr>
              <w:t xml:space="preserve"> Notification dated 22 July 2022</w:t>
            </w:r>
            <w:r w:rsidRPr="00167CB4">
              <w:rPr>
                <w:rFonts w:ascii="Calibri" w:hAnsi="Calibri" w:cs="Calibri"/>
                <w:color w:val="000000"/>
                <w:shd w:val="clear" w:color="auto" w:fill="FFFFFF"/>
                <w:lang w:val="en-IN"/>
              </w:rPr>
              <w:t>.</w:t>
            </w:r>
          </w:p>
          <w:p w14:paraId="3C5E5E53" w14:textId="77777777" w:rsidR="00167CB4" w:rsidRPr="00167CB4" w:rsidRDefault="00167CB4" w:rsidP="005F2B38">
            <w:pPr>
              <w:numPr>
                <w:ilvl w:val="0"/>
                <w:numId w:val="60"/>
              </w:numPr>
              <w:jc w:val="both"/>
              <w:rPr>
                <w:rFonts w:ascii="Calibri" w:hAnsi="Calibri" w:cs="Calibri"/>
                <w:color w:val="000000"/>
                <w:shd w:val="clear" w:color="auto" w:fill="FFFFFF"/>
                <w:lang w:val="en-IN"/>
              </w:rPr>
            </w:pPr>
            <w:r w:rsidRPr="00167CB4">
              <w:rPr>
                <w:rFonts w:ascii="Calibri" w:hAnsi="Calibri" w:cs="Calibri"/>
                <w:color w:val="000000"/>
                <w:shd w:val="clear" w:color="auto" w:fill="FFFFFF"/>
                <w:lang w:val="en-IN"/>
              </w:rPr>
              <w:t xml:space="preserve">Allowing procurement from </w:t>
            </w:r>
            <w:r w:rsidRPr="005F2B38">
              <w:rPr>
                <w:rFonts w:ascii="Calibri" w:hAnsi="Calibri" w:cs="Calibri"/>
                <w:color w:val="000000"/>
                <w:shd w:val="clear" w:color="auto" w:fill="FFFFFF"/>
                <w:lang w:val="en-IN"/>
              </w:rPr>
              <w:t>low-carbon technologies</w:t>
            </w:r>
            <w:r w:rsidRPr="00167CB4">
              <w:rPr>
                <w:rFonts w:ascii="Calibri" w:hAnsi="Calibri" w:cs="Calibri"/>
                <w:color w:val="000000"/>
                <w:shd w:val="clear" w:color="auto" w:fill="FFFFFF"/>
                <w:lang w:val="en-IN"/>
              </w:rPr>
              <w:t xml:space="preserve"> like solar PV, wind, and hydroelectric plants.</w:t>
            </w:r>
          </w:p>
          <w:p w14:paraId="0B557B89" w14:textId="7DC469A3" w:rsidR="00167CB4" w:rsidRPr="00167CB4" w:rsidRDefault="00167CB4" w:rsidP="005F2B38">
            <w:pPr>
              <w:numPr>
                <w:ilvl w:val="0"/>
                <w:numId w:val="60"/>
              </w:numPr>
              <w:jc w:val="both"/>
              <w:rPr>
                <w:rFonts w:ascii="Calibri" w:hAnsi="Calibri" w:cs="Calibri"/>
                <w:color w:val="000000"/>
                <w:shd w:val="clear" w:color="auto" w:fill="FFFFFF"/>
                <w:lang w:val="en-IN"/>
              </w:rPr>
            </w:pPr>
            <w:r w:rsidRPr="00167CB4">
              <w:rPr>
                <w:rFonts w:ascii="Calibri" w:hAnsi="Calibri" w:cs="Calibri"/>
                <w:color w:val="000000"/>
                <w:shd w:val="clear" w:color="auto" w:fill="FFFFFF"/>
                <w:lang w:val="en-IN"/>
              </w:rPr>
              <w:t xml:space="preserve">Inclusion of </w:t>
            </w:r>
            <w:r w:rsidRPr="005F2B38">
              <w:rPr>
                <w:rFonts w:ascii="Calibri" w:hAnsi="Calibri" w:cs="Calibri"/>
                <w:color w:val="000000"/>
                <w:shd w:val="clear" w:color="auto" w:fill="FFFFFF"/>
                <w:lang w:val="en-IN"/>
              </w:rPr>
              <w:t>Energy Storage Obligation (ESO)</w:t>
            </w:r>
            <w:r w:rsidRPr="00167CB4">
              <w:rPr>
                <w:rFonts w:ascii="Calibri" w:hAnsi="Calibri" w:cs="Calibri"/>
                <w:color w:val="000000"/>
                <w:shd w:val="clear" w:color="auto" w:fill="FFFFFF"/>
                <w:lang w:val="en-IN"/>
              </w:rPr>
              <w:t xml:space="preserve"> as a technical requirement</w:t>
            </w:r>
            <w:r w:rsidR="00BB3E77">
              <w:rPr>
                <w:rFonts w:ascii="Calibri" w:hAnsi="Calibri" w:cs="Calibri"/>
                <w:color w:val="000000"/>
                <w:shd w:val="clear" w:color="auto" w:fill="FFFFFF"/>
                <w:lang w:val="en-IN"/>
              </w:rPr>
              <w:t xml:space="preserve"> </w:t>
            </w:r>
            <w:r w:rsidRPr="00167CB4">
              <w:rPr>
                <w:rFonts w:ascii="Calibri" w:hAnsi="Calibri" w:cs="Calibri"/>
                <w:color w:val="000000"/>
                <w:shd w:val="clear" w:color="auto" w:fill="FFFFFF"/>
                <w:lang w:val="en-IN"/>
              </w:rPr>
              <w:t>starting FY 2023–24, with a minimum of 85% renewable input to qualify.</w:t>
            </w:r>
          </w:p>
          <w:p w14:paraId="6970E107" w14:textId="77777777" w:rsidR="00167CB4" w:rsidRPr="00167CB4" w:rsidRDefault="00167CB4" w:rsidP="005F2B38">
            <w:pPr>
              <w:jc w:val="both"/>
              <w:rPr>
                <w:rFonts w:ascii="Calibri" w:hAnsi="Calibri" w:cs="Calibri"/>
                <w:color w:val="000000"/>
                <w:shd w:val="clear" w:color="auto" w:fill="FFFFFF"/>
                <w:lang w:val="en-IN"/>
              </w:rPr>
            </w:pPr>
            <w:r w:rsidRPr="00167CB4">
              <w:rPr>
                <w:rFonts w:ascii="Calibri" w:hAnsi="Calibri" w:cs="Calibri"/>
                <w:color w:val="000000"/>
                <w:shd w:val="clear" w:color="auto" w:fill="FFFFFF"/>
                <w:lang w:val="en-IN"/>
              </w:rPr>
              <w:t xml:space="preserve">These obligations serve as </w:t>
            </w:r>
            <w:r w:rsidRPr="005F2B38">
              <w:rPr>
                <w:rFonts w:ascii="Calibri" w:hAnsi="Calibri" w:cs="Calibri"/>
                <w:color w:val="000000"/>
                <w:shd w:val="clear" w:color="auto" w:fill="FFFFFF"/>
                <w:lang w:val="en-IN"/>
              </w:rPr>
              <w:t>technical specifications</w:t>
            </w:r>
            <w:r w:rsidRPr="00167CB4">
              <w:rPr>
                <w:rFonts w:ascii="Calibri" w:hAnsi="Calibri" w:cs="Calibri"/>
                <w:color w:val="000000"/>
                <w:shd w:val="clear" w:color="auto" w:fill="FFFFFF"/>
                <w:lang w:val="en-IN"/>
              </w:rPr>
              <w:t xml:space="preserve"> for the kind of electricity public procurers must buy, but the framework does </w:t>
            </w:r>
            <w:r w:rsidRPr="005F2B38">
              <w:rPr>
                <w:rFonts w:ascii="Calibri" w:hAnsi="Calibri" w:cs="Calibri"/>
                <w:color w:val="000000"/>
                <w:shd w:val="clear" w:color="auto" w:fill="FFFFFF"/>
                <w:lang w:val="en-IN"/>
              </w:rPr>
              <w:t>not include lifecycle carbon data, product-level emissions, or third-party certification criteria</w:t>
            </w:r>
            <w:r w:rsidRPr="00167CB4">
              <w:rPr>
                <w:rFonts w:ascii="Calibri" w:hAnsi="Calibri" w:cs="Calibri"/>
                <w:color w:val="000000"/>
                <w:shd w:val="clear" w:color="auto" w:fill="FFFFFF"/>
                <w:lang w:val="en-IN"/>
              </w:rPr>
              <w:t>.</w:t>
            </w:r>
          </w:p>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13574B1E" w:rsidR="009A5C4E" w:rsidRPr="0074258C" w:rsidRDefault="003D5730"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2C9834A0" w:rsidR="009A5C4E" w:rsidRPr="003D5730" w:rsidRDefault="003D5730" w:rsidP="005F2B38">
            <w:pPr>
              <w:jc w:val="both"/>
              <w:rPr>
                <w:rStyle w:val="normaltextrun"/>
                <w:rFonts w:cstheme="minorHAnsi"/>
                <w:color w:val="000000"/>
                <w:shd w:val="clear" w:color="auto" w:fill="FFFFFF"/>
                <w:lang w:val="en-US"/>
              </w:rPr>
            </w:pPr>
            <w:r w:rsidRPr="003D5730">
              <w:rPr>
                <w:rFonts w:cstheme="minorHAnsi"/>
                <w:color w:val="000000"/>
                <w:shd w:val="clear" w:color="auto" w:fill="FFFFFF"/>
              </w:rPr>
              <w:t xml:space="preserve">The RPO framework does </w:t>
            </w:r>
            <w:r w:rsidRPr="005F2B38">
              <w:rPr>
                <w:rFonts w:cstheme="minorHAnsi"/>
                <w:color w:val="000000"/>
                <w:shd w:val="clear" w:color="auto" w:fill="FFFFFF"/>
              </w:rPr>
              <w:t>not mandate or recommend climate-related contract performance clauses</w:t>
            </w:r>
            <w:r w:rsidRPr="003D5730">
              <w:rPr>
                <w:rFonts w:cstheme="minorHAnsi"/>
                <w:color w:val="000000"/>
                <w:shd w:val="clear" w:color="auto" w:fill="FFFFFF"/>
              </w:rPr>
              <w:t xml:space="preserve">, KPIs, or post-award monitoring clauses within renewable energy procurement </w:t>
            </w:r>
            <w:r w:rsidRPr="003D5730">
              <w:rPr>
                <w:rFonts w:cstheme="minorHAnsi"/>
                <w:color w:val="000000"/>
                <w:shd w:val="clear" w:color="auto" w:fill="FFFFFF"/>
              </w:rPr>
              <w:lastRenderedPageBreak/>
              <w:t xml:space="preserve">contracts. Obligated entities (e.g. DISCOMs) must meet aggregate RPO targets, but </w:t>
            </w:r>
            <w:r w:rsidRPr="005F2B38">
              <w:rPr>
                <w:rFonts w:cstheme="minorHAnsi"/>
                <w:color w:val="000000"/>
                <w:shd w:val="clear" w:color="auto" w:fill="FFFFFF"/>
              </w:rPr>
              <w:t>contract enforcement and emissions tracking at the supplier level are not regulated</w:t>
            </w:r>
            <w:r w:rsidRPr="003D5730">
              <w:rPr>
                <w:rFonts w:cstheme="minorHAnsi"/>
                <w:color w:val="000000"/>
                <w:shd w:val="clear" w:color="auto" w:fill="FFFFFF"/>
              </w:rPr>
              <w:t>.</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lastRenderedPageBreak/>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1EE8FD4F" w:rsidR="009A5C4E" w:rsidRPr="0074258C" w:rsidRDefault="002C6A45" w:rsidP="00CF2E7C">
            <w:pPr>
              <w:rPr>
                <w:rStyle w:val="normaltextrun"/>
                <w:rFonts w:cstheme="minorHAnsi"/>
                <w:color w:val="000000"/>
                <w:lang w:val="en-US"/>
              </w:rPr>
            </w:pPr>
            <w:r>
              <w:rPr>
                <w:rStyle w:val="normaltextrun"/>
                <w:rFonts w:cstheme="minorHAnsi"/>
                <w:color w:val="000000"/>
                <w:lang w:val="en-US"/>
              </w:rPr>
              <w:t>X</w:t>
            </w: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1B1FAFB6" w14:textId="0A5C9621" w:rsidR="002C6A45" w:rsidRPr="00C10E1C" w:rsidRDefault="00C3099C" w:rsidP="005F2B38">
            <w:pPr>
              <w:jc w:val="both"/>
              <w:rPr>
                <w:rFonts w:cstheme="minorHAnsi"/>
                <w:color w:val="000000"/>
                <w:shd w:val="clear" w:color="auto" w:fill="FFFFFF"/>
              </w:rPr>
            </w:pPr>
            <w:r>
              <w:rPr>
                <w:rFonts w:cstheme="minorHAnsi"/>
                <w:color w:val="000000"/>
                <w:shd w:val="clear" w:color="auto" w:fill="FFFFFF"/>
              </w:rPr>
              <w:t>Yes. Un</w:t>
            </w:r>
            <w:r w:rsidR="002C6A45" w:rsidRPr="00C10E1C">
              <w:rPr>
                <w:rFonts w:cstheme="minorHAnsi"/>
                <w:color w:val="000000"/>
                <w:shd w:val="clear" w:color="auto" w:fill="FFFFFF"/>
              </w:rPr>
              <w:t>der the Renewable Consumption Obligation (RCO) framework administered by the Bureau of Energy Efficiency (BEE), RPO compliance reporting is mandatory for public DISCOMs, captive users, and open access consumers:</w:t>
            </w:r>
          </w:p>
          <w:p w14:paraId="29A49B95" w14:textId="77777777" w:rsidR="002C6A45" w:rsidRPr="00C3099C" w:rsidRDefault="002C6A45" w:rsidP="00C3099C">
            <w:pPr>
              <w:pStyle w:val="ListParagraph"/>
              <w:numPr>
                <w:ilvl w:val="0"/>
                <w:numId w:val="69"/>
              </w:numPr>
              <w:jc w:val="both"/>
              <w:rPr>
                <w:rFonts w:cstheme="minorHAnsi"/>
                <w:color w:val="000000"/>
                <w:shd w:val="clear" w:color="auto" w:fill="FFFFFF"/>
              </w:rPr>
            </w:pPr>
            <w:r w:rsidRPr="00C3099C">
              <w:rPr>
                <w:rFonts w:cstheme="minorHAnsi"/>
                <w:color w:val="000000"/>
                <w:shd w:val="clear" w:color="auto" w:fill="FFFFFF"/>
              </w:rPr>
              <w:t>DISCOMs must submit verified annual compliance reports in Form C (FY 2024–25 onward), including proof of RE procurement and REC purchases.</w:t>
            </w:r>
          </w:p>
          <w:p w14:paraId="2AF15B07" w14:textId="77777777" w:rsidR="002C6A45" w:rsidRPr="00C3099C" w:rsidRDefault="002C6A45" w:rsidP="00C3099C">
            <w:pPr>
              <w:pStyle w:val="ListParagraph"/>
              <w:numPr>
                <w:ilvl w:val="0"/>
                <w:numId w:val="69"/>
              </w:numPr>
              <w:jc w:val="both"/>
              <w:rPr>
                <w:rFonts w:cstheme="minorHAnsi"/>
                <w:color w:val="000000"/>
                <w:shd w:val="clear" w:color="auto" w:fill="FFFFFF"/>
              </w:rPr>
            </w:pPr>
            <w:r w:rsidRPr="00C3099C">
              <w:rPr>
                <w:rFonts w:cstheme="minorHAnsi"/>
                <w:color w:val="000000"/>
                <w:shd w:val="clear" w:color="auto" w:fill="FFFFFF"/>
              </w:rPr>
              <w:t>These reports are submitted to BEE and monitored centrally</w:t>
            </w:r>
          </w:p>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D951538" w:rsidR="007802C6" w:rsidRPr="00CF2E7C" w:rsidRDefault="002C6A45"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7D9D7D2A" w:rsidR="007802C6" w:rsidRPr="00CF2E7C" w:rsidRDefault="002C6A45"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12F6923B" w:rsidR="007802C6" w:rsidRPr="00CF2E7C" w:rsidRDefault="0085332A"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5CBC947" w:rsidR="007802C6" w:rsidRPr="00CF2E7C" w:rsidRDefault="0085332A"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09C2100" w:rsidR="007802C6" w:rsidRPr="00CF2E7C" w:rsidRDefault="0085332A"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5434AA44" w:rsidR="007802C6" w:rsidRPr="00CF2E7C" w:rsidRDefault="0085332A"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250F9DD6" w:rsidR="007802C6" w:rsidRPr="00CF2E7C" w:rsidRDefault="0085332A"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8370BC2" w:rsidR="007802C6" w:rsidRPr="00CF2E7C" w:rsidRDefault="0085332A"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1C85858B" w:rsidR="007802C6" w:rsidRPr="00CF2E7C" w:rsidRDefault="0085332A"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744BAA6" w:rsidR="007802C6" w:rsidRPr="00CF2E7C" w:rsidRDefault="0085332A"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2FA7E46B" w:rsidR="007802C6" w:rsidRPr="00CF2E7C" w:rsidRDefault="0085332A"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5E3F5F37" w:rsidR="007802C6" w:rsidRPr="00CF2E7C" w:rsidRDefault="0085332A"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56869F58" w:rsidR="007802C6" w:rsidRPr="00CF2E7C" w:rsidRDefault="0085332A"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00B69836" w:rsidR="007802C6" w:rsidRPr="00CF2E7C" w:rsidRDefault="0085332A"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872EA05" w:rsidR="007802C6" w:rsidRPr="00CF2E7C" w:rsidRDefault="0085332A"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1DB62765" w:rsidR="007802C6" w:rsidRPr="00CF2E7C" w:rsidRDefault="0085332A"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43162B6B" w:rsidR="007802C6" w:rsidRPr="00CF2E7C" w:rsidRDefault="0085332A"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2891564" w:rsidR="007802C6" w:rsidRPr="00CF2E7C" w:rsidRDefault="0085332A"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B54C344" w:rsidR="007802C6" w:rsidRPr="00CF2E7C" w:rsidRDefault="0085332A"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272E99B5" w:rsidR="007802C6" w:rsidRPr="00CF2E7C" w:rsidRDefault="0085332A"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38D1AA5E" w:rsidR="007802C6" w:rsidRPr="00CF2E7C" w:rsidRDefault="0085332A"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990DBF" w:rsidR="007802C6" w:rsidRPr="00CF2E7C" w:rsidRDefault="0085332A"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4B4B0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4B4B0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4B4B0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55E0E9" w14:textId="77777777" w:rsidR="004A00FF" w:rsidRDefault="004A00FF" w:rsidP="00874E39">
      <w:r>
        <w:separator/>
      </w:r>
    </w:p>
  </w:endnote>
  <w:endnote w:type="continuationSeparator" w:id="0">
    <w:p w14:paraId="50053338" w14:textId="77777777" w:rsidR="004A00FF" w:rsidRDefault="004A00FF" w:rsidP="00874E39">
      <w:r>
        <w:continuationSeparator/>
      </w:r>
    </w:p>
  </w:endnote>
  <w:endnote w:type="continuationNotice" w:id="1">
    <w:p w14:paraId="4F56FDC8" w14:textId="77777777" w:rsidR="004A00FF" w:rsidRDefault="004A00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28A3C4" w14:textId="77777777" w:rsidR="004A00FF" w:rsidRDefault="004A00FF" w:rsidP="00874E39">
      <w:r>
        <w:separator/>
      </w:r>
    </w:p>
  </w:footnote>
  <w:footnote w:type="continuationSeparator" w:id="0">
    <w:p w14:paraId="4ABE82D3" w14:textId="77777777" w:rsidR="004A00FF" w:rsidRDefault="004A00FF" w:rsidP="00874E39">
      <w:r>
        <w:continuationSeparator/>
      </w:r>
    </w:p>
  </w:footnote>
  <w:footnote w:type="continuationNotice" w:id="1">
    <w:p w14:paraId="6ACA393B" w14:textId="77777777" w:rsidR="004A00FF" w:rsidRDefault="004A00F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60D9B"/>
    <w:multiLevelType w:val="multilevel"/>
    <w:tmpl w:val="6D9C8D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1756FA"/>
    <w:multiLevelType w:val="hybridMultilevel"/>
    <w:tmpl w:val="169CB368"/>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6"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7" w15:restartNumberingAfterBreak="0">
    <w:nsid w:val="0CEA0BF6"/>
    <w:multiLevelType w:val="multilevel"/>
    <w:tmpl w:val="0409001D"/>
    <w:numStyleLink w:val="Singlepunch"/>
  </w:abstractNum>
  <w:abstractNum w:abstractNumId="8"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9"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68B0C45"/>
    <w:multiLevelType w:val="multilevel"/>
    <w:tmpl w:val="49A6BE7C"/>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3" w15:restartNumberingAfterBreak="0">
    <w:nsid w:val="177E6C88"/>
    <w:multiLevelType w:val="multilevel"/>
    <w:tmpl w:val="CD061E9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5" w15:restartNumberingAfterBreak="0">
    <w:nsid w:val="1CE53894"/>
    <w:multiLevelType w:val="multilevel"/>
    <w:tmpl w:val="E406651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D270D17"/>
    <w:multiLevelType w:val="hybridMultilevel"/>
    <w:tmpl w:val="A0F6AD1E"/>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1F110DDE"/>
    <w:multiLevelType w:val="multilevel"/>
    <w:tmpl w:val="A406FFAA"/>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9"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20"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21" w15:restartNumberingAfterBreak="0">
    <w:nsid w:val="28656587"/>
    <w:multiLevelType w:val="multilevel"/>
    <w:tmpl w:val="9252BC0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23" w15:restartNumberingAfterBreak="0">
    <w:nsid w:val="2A972BE3"/>
    <w:multiLevelType w:val="hybridMultilevel"/>
    <w:tmpl w:val="AA46C47C"/>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2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7" w15:restartNumberingAfterBreak="0">
    <w:nsid w:val="32BC123F"/>
    <w:multiLevelType w:val="multilevel"/>
    <w:tmpl w:val="DA625ED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4F96002"/>
    <w:multiLevelType w:val="hybridMultilevel"/>
    <w:tmpl w:val="C704611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3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3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32" w15:restartNumberingAfterBreak="0">
    <w:nsid w:val="38FB45D8"/>
    <w:multiLevelType w:val="multilevel"/>
    <w:tmpl w:val="EA0C51A8"/>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3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3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8" w15:restartNumberingAfterBreak="0">
    <w:nsid w:val="44595868"/>
    <w:multiLevelType w:val="multilevel"/>
    <w:tmpl w:val="83C6C5AA"/>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4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4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42" w15:restartNumberingAfterBreak="0">
    <w:nsid w:val="4A2778A6"/>
    <w:multiLevelType w:val="multilevel"/>
    <w:tmpl w:val="0409001D"/>
    <w:styleLink w:val="Singlepunch"/>
    <w:lvl w:ilvl="0">
      <w:start w:val="1"/>
      <w:numFmt w:val="bullet"/>
      <w:lvlText w:val="o"/>
      <w:lvlJc w:val="left"/>
      <w:pPr>
        <w:spacing w:before="120"/>
        <w:ind w:left="360"/>
      </w:pPr>
      <w:rPr>
        <w:rFonts w:ascii="Courier New" w:eastAsia="Courier New" w:hAnsi="Courier New" w:cs="Courier New"/>
        <w:color w:val="BFBFBF"/>
        <w:sz w:val="5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4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4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4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5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5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5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5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55" w15:restartNumberingAfterBreak="0">
    <w:nsid w:val="5D235835"/>
    <w:multiLevelType w:val="multilevel"/>
    <w:tmpl w:val="248C605A"/>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7" w15:restartNumberingAfterBreak="0">
    <w:nsid w:val="637F401A"/>
    <w:multiLevelType w:val="multilevel"/>
    <w:tmpl w:val="EA0C51A8"/>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9" w15:restartNumberingAfterBreak="0">
    <w:nsid w:val="6CBA7B02"/>
    <w:multiLevelType w:val="multilevel"/>
    <w:tmpl w:val="9252BC0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6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6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6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64" w15:restartNumberingAfterBreak="0">
    <w:nsid w:val="7678250B"/>
    <w:multiLevelType w:val="hybridMultilevel"/>
    <w:tmpl w:val="83D60A6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5"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66"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67" w15:restartNumberingAfterBreak="0">
    <w:nsid w:val="782334EE"/>
    <w:multiLevelType w:val="hybridMultilevel"/>
    <w:tmpl w:val="72F49AB6"/>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68" w15:restartNumberingAfterBreak="0">
    <w:nsid w:val="7AD21560"/>
    <w:multiLevelType w:val="hybridMultilevel"/>
    <w:tmpl w:val="73A86A72"/>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num w:numId="1" w16cid:durableId="680666882">
    <w:abstractNumId w:val="26"/>
  </w:num>
  <w:num w:numId="2" w16cid:durableId="482308869">
    <w:abstractNumId w:val="36"/>
  </w:num>
  <w:num w:numId="3" w16cid:durableId="690952733">
    <w:abstractNumId w:val="58"/>
  </w:num>
  <w:num w:numId="4" w16cid:durableId="1689330127">
    <w:abstractNumId w:val="2"/>
  </w:num>
  <w:num w:numId="5" w16cid:durableId="401291788">
    <w:abstractNumId w:val="43"/>
  </w:num>
  <w:num w:numId="6" w16cid:durableId="1276788690">
    <w:abstractNumId w:val="22"/>
  </w:num>
  <w:num w:numId="7" w16cid:durableId="566767730">
    <w:abstractNumId w:val="33"/>
  </w:num>
  <w:num w:numId="8" w16cid:durableId="1780710843">
    <w:abstractNumId w:val="49"/>
  </w:num>
  <w:num w:numId="9" w16cid:durableId="1685783054">
    <w:abstractNumId w:val="4"/>
  </w:num>
  <w:num w:numId="10" w16cid:durableId="950551298">
    <w:abstractNumId w:val="46"/>
  </w:num>
  <w:num w:numId="11" w16cid:durableId="1591960799">
    <w:abstractNumId w:val="66"/>
  </w:num>
  <w:num w:numId="12" w16cid:durableId="1344891410">
    <w:abstractNumId w:val="14"/>
  </w:num>
  <w:num w:numId="13" w16cid:durableId="2023899324">
    <w:abstractNumId w:val="19"/>
  </w:num>
  <w:num w:numId="14" w16cid:durableId="430587014">
    <w:abstractNumId w:val="10"/>
  </w:num>
  <w:num w:numId="15" w16cid:durableId="1742869061">
    <w:abstractNumId w:val="45"/>
  </w:num>
  <w:num w:numId="16" w16cid:durableId="1996450437">
    <w:abstractNumId w:val="31"/>
  </w:num>
  <w:num w:numId="17" w16cid:durableId="1529031027">
    <w:abstractNumId w:val="12"/>
  </w:num>
  <w:num w:numId="18" w16cid:durableId="568614617">
    <w:abstractNumId w:val="29"/>
  </w:num>
  <w:num w:numId="19" w16cid:durableId="1530605858">
    <w:abstractNumId w:val="60"/>
  </w:num>
  <w:num w:numId="20" w16cid:durableId="1328172586">
    <w:abstractNumId w:val="25"/>
  </w:num>
  <w:num w:numId="21" w16cid:durableId="184827816">
    <w:abstractNumId w:val="41"/>
  </w:num>
  <w:num w:numId="22" w16cid:durableId="1785346599">
    <w:abstractNumId w:val="48"/>
  </w:num>
  <w:num w:numId="23" w16cid:durableId="1294288901">
    <w:abstractNumId w:val="40"/>
  </w:num>
  <w:num w:numId="24" w16cid:durableId="1603957975">
    <w:abstractNumId w:val="62"/>
  </w:num>
  <w:num w:numId="25" w16cid:durableId="1659531047">
    <w:abstractNumId w:val="61"/>
  </w:num>
  <w:num w:numId="26" w16cid:durableId="752774403">
    <w:abstractNumId w:val="35"/>
  </w:num>
  <w:num w:numId="27" w16cid:durableId="347872198">
    <w:abstractNumId w:val="9"/>
  </w:num>
  <w:num w:numId="28" w16cid:durableId="537133110">
    <w:abstractNumId w:val="20"/>
  </w:num>
  <w:num w:numId="29" w16cid:durableId="1632318729">
    <w:abstractNumId w:val="63"/>
  </w:num>
  <w:num w:numId="30" w16cid:durableId="1268124074">
    <w:abstractNumId w:val="47"/>
  </w:num>
  <w:num w:numId="31" w16cid:durableId="887108748">
    <w:abstractNumId w:val="44"/>
  </w:num>
  <w:num w:numId="32" w16cid:durableId="1826125712">
    <w:abstractNumId w:val="50"/>
  </w:num>
  <w:num w:numId="33" w16cid:durableId="823357978">
    <w:abstractNumId w:val="54"/>
  </w:num>
  <w:num w:numId="34" w16cid:durableId="1092120443">
    <w:abstractNumId w:val="53"/>
  </w:num>
  <w:num w:numId="35" w16cid:durableId="124861188">
    <w:abstractNumId w:val="18"/>
  </w:num>
  <w:num w:numId="36" w16cid:durableId="1952588250">
    <w:abstractNumId w:val="52"/>
  </w:num>
  <w:num w:numId="37" w16cid:durableId="1712027211">
    <w:abstractNumId w:val="6"/>
  </w:num>
  <w:num w:numId="38" w16cid:durableId="2033795929">
    <w:abstractNumId w:val="3"/>
  </w:num>
  <w:num w:numId="39" w16cid:durableId="1238595582">
    <w:abstractNumId w:val="37"/>
  </w:num>
  <w:num w:numId="40" w16cid:durableId="416558262">
    <w:abstractNumId w:val="34"/>
  </w:num>
  <w:num w:numId="41" w16cid:durableId="1543715517">
    <w:abstractNumId w:val="30"/>
  </w:num>
  <w:num w:numId="42" w16cid:durableId="452208391">
    <w:abstractNumId w:val="24"/>
  </w:num>
  <w:num w:numId="43" w16cid:durableId="260340070">
    <w:abstractNumId w:val="1"/>
  </w:num>
  <w:num w:numId="44" w16cid:durableId="1639914969">
    <w:abstractNumId w:val="8"/>
  </w:num>
  <w:num w:numId="45" w16cid:durableId="1554191892">
    <w:abstractNumId w:val="56"/>
  </w:num>
  <w:num w:numId="46" w16cid:durableId="947811845">
    <w:abstractNumId w:val="65"/>
  </w:num>
  <w:num w:numId="47" w16cid:durableId="342588554">
    <w:abstractNumId w:val="39"/>
  </w:num>
  <w:num w:numId="48" w16cid:durableId="318391343">
    <w:abstractNumId w:val="51"/>
  </w:num>
  <w:num w:numId="49" w16cid:durableId="232550218">
    <w:abstractNumId w:val="42"/>
  </w:num>
  <w:num w:numId="50" w16cid:durableId="486285268">
    <w:abstractNumId w:val="7"/>
    <w:lvlOverride w:ilvl="0">
      <w:lvl w:ilvl="0">
        <w:start w:val="1"/>
        <w:numFmt w:val="bullet"/>
        <w:lvlText w:val="o"/>
        <w:lvlJc w:val="left"/>
        <w:pPr>
          <w:spacing w:before="120"/>
          <w:ind w:left="360"/>
        </w:pPr>
        <w:rPr>
          <w:rFonts w:ascii="Courier New" w:eastAsia="Courier New" w:hAnsi="Courier New" w:cs="Courier New"/>
          <w:color w:val="BFBFBF"/>
          <w:sz w:val="30"/>
          <w:szCs w:val="30"/>
        </w:rPr>
      </w:lvl>
    </w:lvlOverride>
  </w:num>
  <w:num w:numId="51" w16cid:durableId="570774144">
    <w:abstractNumId w:val="0"/>
  </w:num>
  <w:num w:numId="52" w16cid:durableId="1063336097">
    <w:abstractNumId w:val="59"/>
  </w:num>
  <w:num w:numId="53" w16cid:durableId="2127194208">
    <w:abstractNumId w:val="57"/>
  </w:num>
  <w:num w:numId="54" w16cid:durableId="830411506">
    <w:abstractNumId w:val="21"/>
  </w:num>
  <w:num w:numId="55" w16cid:durableId="932930683">
    <w:abstractNumId w:val="32"/>
  </w:num>
  <w:num w:numId="56" w16cid:durableId="934900842">
    <w:abstractNumId w:val="15"/>
  </w:num>
  <w:num w:numId="57" w16cid:durableId="975641385">
    <w:abstractNumId w:val="38"/>
  </w:num>
  <w:num w:numId="58" w16cid:durableId="410741627">
    <w:abstractNumId w:val="27"/>
  </w:num>
  <w:num w:numId="59" w16cid:durableId="2072655100">
    <w:abstractNumId w:val="17"/>
  </w:num>
  <w:num w:numId="60" w16cid:durableId="1647397997">
    <w:abstractNumId w:val="55"/>
  </w:num>
  <w:num w:numId="61" w16cid:durableId="1187523467">
    <w:abstractNumId w:val="11"/>
  </w:num>
  <w:num w:numId="62" w16cid:durableId="1640721571">
    <w:abstractNumId w:val="68"/>
  </w:num>
  <w:num w:numId="63" w16cid:durableId="1163279954">
    <w:abstractNumId w:val="5"/>
  </w:num>
  <w:num w:numId="64" w16cid:durableId="2098669732">
    <w:abstractNumId w:val="28"/>
  </w:num>
  <w:num w:numId="65" w16cid:durableId="2145075738">
    <w:abstractNumId w:val="23"/>
  </w:num>
  <w:num w:numId="66" w16cid:durableId="1549535261">
    <w:abstractNumId w:val="67"/>
  </w:num>
  <w:num w:numId="67" w16cid:durableId="242879447">
    <w:abstractNumId w:val="13"/>
  </w:num>
  <w:num w:numId="68" w16cid:durableId="1820805586">
    <w:abstractNumId w:val="64"/>
  </w:num>
  <w:num w:numId="69" w16cid:durableId="92552429">
    <w:abstractNumId w:val="1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B0B"/>
    <w:rsid w:val="0003453A"/>
    <w:rsid w:val="00034EDB"/>
    <w:rsid w:val="00035464"/>
    <w:rsid w:val="000372C9"/>
    <w:rsid w:val="000403CE"/>
    <w:rsid w:val="00040F2E"/>
    <w:rsid w:val="00040F48"/>
    <w:rsid w:val="00041BB2"/>
    <w:rsid w:val="00042406"/>
    <w:rsid w:val="00042518"/>
    <w:rsid w:val="000428FA"/>
    <w:rsid w:val="000449A7"/>
    <w:rsid w:val="00045926"/>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606"/>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2A"/>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79E8"/>
    <w:rsid w:val="000D0592"/>
    <w:rsid w:val="000D1226"/>
    <w:rsid w:val="000D213B"/>
    <w:rsid w:val="000D223D"/>
    <w:rsid w:val="000D4AD7"/>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C53"/>
    <w:rsid w:val="001042D6"/>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547"/>
    <w:rsid w:val="0011467E"/>
    <w:rsid w:val="001156F1"/>
    <w:rsid w:val="0011644D"/>
    <w:rsid w:val="00116A94"/>
    <w:rsid w:val="001174BF"/>
    <w:rsid w:val="001206CE"/>
    <w:rsid w:val="001221BA"/>
    <w:rsid w:val="00122504"/>
    <w:rsid w:val="00122733"/>
    <w:rsid w:val="00123F5C"/>
    <w:rsid w:val="00124C48"/>
    <w:rsid w:val="00133403"/>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63C"/>
    <w:rsid w:val="00167A5F"/>
    <w:rsid w:val="00167CB4"/>
    <w:rsid w:val="00172B85"/>
    <w:rsid w:val="00173D7C"/>
    <w:rsid w:val="0017449C"/>
    <w:rsid w:val="001749C3"/>
    <w:rsid w:val="00176011"/>
    <w:rsid w:val="00180289"/>
    <w:rsid w:val="00182288"/>
    <w:rsid w:val="00182646"/>
    <w:rsid w:val="00183170"/>
    <w:rsid w:val="00184609"/>
    <w:rsid w:val="00185C8C"/>
    <w:rsid w:val="001872DE"/>
    <w:rsid w:val="001904E6"/>
    <w:rsid w:val="00191059"/>
    <w:rsid w:val="001919D8"/>
    <w:rsid w:val="00191EA0"/>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0F0D"/>
    <w:rsid w:val="001C239C"/>
    <w:rsid w:val="001C3435"/>
    <w:rsid w:val="001C3966"/>
    <w:rsid w:val="001C4700"/>
    <w:rsid w:val="001C5A18"/>
    <w:rsid w:val="001C5C5D"/>
    <w:rsid w:val="001C614E"/>
    <w:rsid w:val="001C669F"/>
    <w:rsid w:val="001D03D3"/>
    <w:rsid w:val="001D1453"/>
    <w:rsid w:val="001D1E48"/>
    <w:rsid w:val="001D1FF2"/>
    <w:rsid w:val="001D365C"/>
    <w:rsid w:val="001D36D7"/>
    <w:rsid w:val="001D374C"/>
    <w:rsid w:val="001D5906"/>
    <w:rsid w:val="001D5DD2"/>
    <w:rsid w:val="001D5F78"/>
    <w:rsid w:val="001D7565"/>
    <w:rsid w:val="001D7A0B"/>
    <w:rsid w:val="001D7E76"/>
    <w:rsid w:val="001E133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376"/>
    <w:rsid w:val="0023001C"/>
    <w:rsid w:val="002303CF"/>
    <w:rsid w:val="002317BC"/>
    <w:rsid w:val="00232794"/>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328"/>
    <w:rsid w:val="00246630"/>
    <w:rsid w:val="00247DE7"/>
    <w:rsid w:val="002500FA"/>
    <w:rsid w:val="00250ED8"/>
    <w:rsid w:val="00250F54"/>
    <w:rsid w:val="0025129B"/>
    <w:rsid w:val="0025449C"/>
    <w:rsid w:val="002552C9"/>
    <w:rsid w:val="0025765F"/>
    <w:rsid w:val="00257732"/>
    <w:rsid w:val="002605CC"/>
    <w:rsid w:val="00264CBC"/>
    <w:rsid w:val="0026588F"/>
    <w:rsid w:val="0026642F"/>
    <w:rsid w:val="002679A5"/>
    <w:rsid w:val="0027067C"/>
    <w:rsid w:val="00270A4D"/>
    <w:rsid w:val="00272D9A"/>
    <w:rsid w:val="002737EF"/>
    <w:rsid w:val="00274335"/>
    <w:rsid w:val="00274864"/>
    <w:rsid w:val="00274B22"/>
    <w:rsid w:val="0027673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6A4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4A4E"/>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DCD"/>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8A3"/>
    <w:rsid w:val="003A48E1"/>
    <w:rsid w:val="003A4A9F"/>
    <w:rsid w:val="003A52E3"/>
    <w:rsid w:val="003A5B03"/>
    <w:rsid w:val="003B0628"/>
    <w:rsid w:val="003B3C0F"/>
    <w:rsid w:val="003B4DD6"/>
    <w:rsid w:val="003B4F81"/>
    <w:rsid w:val="003B539A"/>
    <w:rsid w:val="003B5B6C"/>
    <w:rsid w:val="003B5F95"/>
    <w:rsid w:val="003B66F6"/>
    <w:rsid w:val="003B7854"/>
    <w:rsid w:val="003C0C7A"/>
    <w:rsid w:val="003C16DA"/>
    <w:rsid w:val="003C5BA2"/>
    <w:rsid w:val="003D17C7"/>
    <w:rsid w:val="003D1B49"/>
    <w:rsid w:val="003D1CF3"/>
    <w:rsid w:val="003D207B"/>
    <w:rsid w:val="003D244B"/>
    <w:rsid w:val="003D2F57"/>
    <w:rsid w:val="003D4F6F"/>
    <w:rsid w:val="003D5104"/>
    <w:rsid w:val="003D56A4"/>
    <w:rsid w:val="003D5730"/>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6CA"/>
    <w:rsid w:val="004474C7"/>
    <w:rsid w:val="00450AD7"/>
    <w:rsid w:val="00450C15"/>
    <w:rsid w:val="004514AB"/>
    <w:rsid w:val="00452B6D"/>
    <w:rsid w:val="00452F13"/>
    <w:rsid w:val="004557A1"/>
    <w:rsid w:val="00455E1B"/>
    <w:rsid w:val="00460A6D"/>
    <w:rsid w:val="00461552"/>
    <w:rsid w:val="004636D6"/>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4B8B"/>
    <w:rsid w:val="00485B85"/>
    <w:rsid w:val="00486758"/>
    <w:rsid w:val="00486B53"/>
    <w:rsid w:val="00486C77"/>
    <w:rsid w:val="00487AFB"/>
    <w:rsid w:val="00490235"/>
    <w:rsid w:val="0049168C"/>
    <w:rsid w:val="00493986"/>
    <w:rsid w:val="00493E0A"/>
    <w:rsid w:val="00494A74"/>
    <w:rsid w:val="00494B67"/>
    <w:rsid w:val="00496413"/>
    <w:rsid w:val="004A00FF"/>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4B0E"/>
    <w:rsid w:val="004B666D"/>
    <w:rsid w:val="004B739E"/>
    <w:rsid w:val="004B77AB"/>
    <w:rsid w:val="004C006D"/>
    <w:rsid w:val="004C20B7"/>
    <w:rsid w:val="004C3866"/>
    <w:rsid w:val="004C3A52"/>
    <w:rsid w:val="004C6739"/>
    <w:rsid w:val="004C70AC"/>
    <w:rsid w:val="004C7926"/>
    <w:rsid w:val="004D0A12"/>
    <w:rsid w:val="004D122A"/>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69D"/>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2AF"/>
    <w:rsid w:val="0052600B"/>
    <w:rsid w:val="00526617"/>
    <w:rsid w:val="00530553"/>
    <w:rsid w:val="00530958"/>
    <w:rsid w:val="00532585"/>
    <w:rsid w:val="00532B66"/>
    <w:rsid w:val="00536B60"/>
    <w:rsid w:val="00537706"/>
    <w:rsid w:val="005405A8"/>
    <w:rsid w:val="00540DAC"/>
    <w:rsid w:val="00541649"/>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0AA6"/>
    <w:rsid w:val="0058109E"/>
    <w:rsid w:val="00582798"/>
    <w:rsid w:val="00582995"/>
    <w:rsid w:val="00584EE1"/>
    <w:rsid w:val="00586A0A"/>
    <w:rsid w:val="005870D5"/>
    <w:rsid w:val="00587FAE"/>
    <w:rsid w:val="005900AD"/>
    <w:rsid w:val="00590F43"/>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4912"/>
    <w:rsid w:val="005D55BE"/>
    <w:rsid w:val="005D7CD4"/>
    <w:rsid w:val="005E0296"/>
    <w:rsid w:val="005E264E"/>
    <w:rsid w:val="005E2F27"/>
    <w:rsid w:val="005E4393"/>
    <w:rsid w:val="005E50FD"/>
    <w:rsid w:val="005E603A"/>
    <w:rsid w:val="005E62F9"/>
    <w:rsid w:val="005E6D04"/>
    <w:rsid w:val="005E78BA"/>
    <w:rsid w:val="005F0524"/>
    <w:rsid w:val="005F1EF0"/>
    <w:rsid w:val="005F2454"/>
    <w:rsid w:val="005F2B38"/>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3BD"/>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463"/>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0ACD"/>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0806"/>
    <w:rsid w:val="006A103A"/>
    <w:rsid w:val="006A2168"/>
    <w:rsid w:val="006A21C6"/>
    <w:rsid w:val="006A308E"/>
    <w:rsid w:val="006A3518"/>
    <w:rsid w:val="006A4C24"/>
    <w:rsid w:val="006A4C9F"/>
    <w:rsid w:val="006A63B5"/>
    <w:rsid w:val="006A67DC"/>
    <w:rsid w:val="006B07E5"/>
    <w:rsid w:val="006B0C0B"/>
    <w:rsid w:val="006B2AC6"/>
    <w:rsid w:val="006B2C46"/>
    <w:rsid w:val="006B4FC8"/>
    <w:rsid w:val="006B6168"/>
    <w:rsid w:val="006B61C2"/>
    <w:rsid w:val="006B7780"/>
    <w:rsid w:val="006B7B0D"/>
    <w:rsid w:val="006C0BEF"/>
    <w:rsid w:val="006C0C8C"/>
    <w:rsid w:val="006C1651"/>
    <w:rsid w:val="006C1E8E"/>
    <w:rsid w:val="006C36E1"/>
    <w:rsid w:val="006C3A29"/>
    <w:rsid w:val="006C3C15"/>
    <w:rsid w:val="006C3E76"/>
    <w:rsid w:val="006C4979"/>
    <w:rsid w:val="006C5478"/>
    <w:rsid w:val="006C5B0E"/>
    <w:rsid w:val="006C5B4E"/>
    <w:rsid w:val="006C5C5D"/>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98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42E"/>
    <w:rsid w:val="00750A02"/>
    <w:rsid w:val="00752CD3"/>
    <w:rsid w:val="00753427"/>
    <w:rsid w:val="0075345B"/>
    <w:rsid w:val="0075419A"/>
    <w:rsid w:val="00754C24"/>
    <w:rsid w:val="007557DF"/>
    <w:rsid w:val="00755BA5"/>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4E6A"/>
    <w:rsid w:val="00795F60"/>
    <w:rsid w:val="007963A0"/>
    <w:rsid w:val="00796DBC"/>
    <w:rsid w:val="007973D4"/>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AC7"/>
    <w:rsid w:val="007B7DEE"/>
    <w:rsid w:val="007B7FD7"/>
    <w:rsid w:val="007C2EAF"/>
    <w:rsid w:val="007C32D8"/>
    <w:rsid w:val="007C3BD3"/>
    <w:rsid w:val="007C3CB6"/>
    <w:rsid w:val="007C5200"/>
    <w:rsid w:val="007C77AA"/>
    <w:rsid w:val="007D229A"/>
    <w:rsid w:val="007D328C"/>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005"/>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3C5"/>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32A"/>
    <w:rsid w:val="00854B57"/>
    <w:rsid w:val="00854CE2"/>
    <w:rsid w:val="0085591B"/>
    <w:rsid w:val="008569FA"/>
    <w:rsid w:val="008577E3"/>
    <w:rsid w:val="00860CA9"/>
    <w:rsid w:val="00861D43"/>
    <w:rsid w:val="00862AB1"/>
    <w:rsid w:val="00862EB9"/>
    <w:rsid w:val="00863792"/>
    <w:rsid w:val="008642FE"/>
    <w:rsid w:val="008650EB"/>
    <w:rsid w:val="008659E5"/>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05C"/>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A5B"/>
    <w:rsid w:val="008E1EEF"/>
    <w:rsid w:val="008E3BCF"/>
    <w:rsid w:val="008E4B2E"/>
    <w:rsid w:val="008E540F"/>
    <w:rsid w:val="008E55CB"/>
    <w:rsid w:val="008E59EB"/>
    <w:rsid w:val="008E6AE1"/>
    <w:rsid w:val="008E760C"/>
    <w:rsid w:val="008F04A4"/>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55A"/>
    <w:rsid w:val="00951BBE"/>
    <w:rsid w:val="0095260A"/>
    <w:rsid w:val="00952AB2"/>
    <w:rsid w:val="00952FEB"/>
    <w:rsid w:val="00953E75"/>
    <w:rsid w:val="009556EA"/>
    <w:rsid w:val="00955BFF"/>
    <w:rsid w:val="00955F34"/>
    <w:rsid w:val="00956390"/>
    <w:rsid w:val="0095736B"/>
    <w:rsid w:val="00960F14"/>
    <w:rsid w:val="009612D3"/>
    <w:rsid w:val="00962064"/>
    <w:rsid w:val="00962F14"/>
    <w:rsid w:val="00963A39"/>
    <w:rsid w:val="00963DC5"/>
    <w:rsid w:val="009649F8"/>
    <w:rsid w:val="00966139"/>
    <w:rsid w:val="00966160"/>
    <w:rsid w:val="00966C8D"/>
    <w:rsid w:val="0097030B"/>
    <w:rsid w:val="00970BB9"/>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62C"/>
    <w:rsid w:val="009B7EAD"/>
    <w:rsid w:val="009C15DC"/>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4611"/>
    <w:rsid w:val="009D5403"/>
    <w:rsid w:val="009D59A5"/>
    <w:rsid w:val="009D5BAA"/>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81D"/>
    <w:rsid w:val="00A22938"/>
    <w:rsid w:val="00A22A89"/>
    <w:rsid w:val="00A234E2"/>
    <w:rsid w:val="00A23924"/>
    <w:rsid w:val="00A242D8"/>
    <w:rsid w:val="00A24FC1"/>
    <w:rsid w:val="00A25205"/>
    <w:rsid w:val="00A25C17"/>
    <w:rsid w:val="00A25DDA"/>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ABE"/>
    <w:rsid w:val="00A711B3"/>
    <w:rsid w:val="00A71C2B"/>
    <w:rsid w:val="00A72E82"/>
    <w:rsid w:val="00A76423"/>
    <w:rsid w:val="00A773D0"/>
    <w:rsid w:val="00A77738"/>
    <w:rsid w:val="00A7786A"/>
    <w:rsid w:val="00A779A2"/>
    <w:rsid w:val="00A80131"/>
    <w:rsid w:val="00A8072A"/>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A1F"/>
    <w:rsid w:val="00AB2CCC"/>
    <w:rsid w:val="00AB33F8"/>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4536"/>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050"/>
    <w:rsid w:val="00B855E0"/>
    <w:rsid w:val="00B87C89"/>
    <w:rsid w:val="00B9001D"/>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C53"/>
    <w:rsid w:val="00BA3247"/>
    <w:rsid w:val="00BA43CD"/>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E77"/>
    <w:rsid w:val="00BB44CD"/>
    <w:rsid w:val="00BB58AA"/>
    <w:rsid w:val="00BB667C"/>
    <w:rsid w:val="00BB7964"/>
    <w:rsid w:val="00BC0309"/>
    <w:rsid w:val="00BC1037"/>
    <w:rsid w:val="00BC28C8"/>
    <w:rsid w:val="00BC2F0B"/>
    <w:rsid w:val="00BC3206"/>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0E1C"/>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99C"/>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898"/>
    <w:rsid w:val="00CF2E7C"/>
    <w:rsid w:val="00CF3188"/>
    <w:rsid w:val="00CF31E5"/>
    <w:rsid w:val="00CF3B95"/>
    <w:rsid w:val="00CF4338"/>
    <w:rsid w:val="00CF5268"/>
    <w:rsid w:val="00CF57A6"/>
    <w:rsid w:val="00CF5976"/>
    <w:rsid w:val="00CF5D92"/>
    <w:rsid w:val="00D000C9"/>
    <w:rsid w:val="00D004AD"/>
    <w:rsid w:val="00D01B92"/>
    <w:rsid w:val="00D02935"/>
    <w:rsid w:val="00D02C80"/>
    <w:rsid w:val="00D02FA1"/>
    <w:rsid w:val="00D056E9"/>
    <w:rsid w:val="00D07A89"/>
    <w:rsid w:val="00D10556"/>
    <w:rsid w:val="00D12870"/>
    <w:rsid w:val="00D1352B"/>
    <w:rsid w:val="00D1371D"/>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868"/>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CD3"/>
    <w:rsid w:val="00D87651"/>
    <w:rsid w:val="00D9109A"/>
    <w:rsid w:val="00D91F15"/>
    <w:rsid w:val="00D92998"/>
    <w:rsid w:val="00D93138"/>
    <w:rsid w:val="00D93C78"/>
    <w:rsid w:val="00D94180"/>
    <w:rsid w:val="00D9431B"/>
    <w:rsid w:val="00D95B33"/>
    <w:rsid w:val="00D964E4"/>
    <w:rsid w:val="00D96C47"/>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1E0A"/>
    <w:rsid w:val="00DD292A"/>
    <w:rsid w:val="00DD3144"/>
    <w:rsid w:val="00DD35ED"/>
    <w:rsid w:val="00DD3B33"/>
    <w:rsid w:val="00DD4AEB"/>
    <w:rsid w:val="00DD694D"/>
    <w:rsid w:val="00DD72BD"/>
    <w:rsid w:val="00DD761B"/>
    <w:rsid w:val="00DE0079"/>
    <w:rsid w:val="00DE0517"/>
    <w:rsid w:val="00DE11DA"/>
    <w:rsid w:val="00DE3DC0"/>
    <w:rsid w:val="00DE5744"/>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1F2"/>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4971"/>
    <w:rsid w:val="00E75E25"/>
    <w:rsid w:val="00E76F8F"/>
    <w:rsid w:val="00E81727"/>
    <w:rsid w:val="00E8221C"/>
    <w:rsid w:val="00E83D9D"/>
    <w:rsid w:val="00E83E48"/>
    <w:rsid w:val="00E85305"/>
    <w:rsid w:val="00E85E70"/>
    <w:rsid w:val="00E86E3F"/>
    <w:rsid w:val="00E87F57"/>
    <w:rsid w:val="00E911ED"/>
    <w:rsid w:val="00E91BCF"/>
    <w:rsid w:val="00E9266B"/>
    <w:rsid w:val="00E929F9"/>
    <w:rsid w:val="00E92DE0"/>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8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0B27"/>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06"/>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7A8"/>
    <w:rsid w:val="00F60B38"/>
    <w:rsid w:val="00F6108E"/>
    <w:rsid w:val="00F61CB7"/>
    <w:rsid w:val="00F6292A"/>
    <w:rsid w:val="00F62C69"/>
    <w:rsid w:val="00F63214"/>
    <w:rsid w:val="00F632FB"/>
    <w:rsid w:val="00F63EEB"/>
    <w:rsid w:val="00F64C00"/>
    <w:rsid w:val="00F64DA9"/>
    <w:rsid w:val="00F65A0C"/>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64B"/>
    <w:rsid w:val="00FA0CF8"/>
    <w:rsid w:val="00FA119A"/>
    <w:rsid w:val="00FA2D54"/>
    <w:rsid w:val="00FA38D8"/>
    <w:rsid w:val="00FA4B8D"/>
    <w:rsid w:val="00FA6DED"/>
    <w:rsid w:val="00FA76DF"/>
    <w:rsid w:val="00FA78EA"/>
    <w:rsid w:val="00FB5A70"/>
    <w:rsid w:val="00FB7BEA"/>
    <w:rsid w:val="00FC0689"/>
    <w:rsid w:val="00FC13F0"/>
    <w:rsid w:val="00FC337B"/>
    <w:rsid w:val="00FC5AA7"/>
    <w:rsid w:val="00FC6E48"/>
    <w:rsid w:val="00FC6F17"/>
    <w:rsid w:val="00FD3587"/>
    <w:rsid w:val="00FD42FF"/>
    <w:rsid w:val="00FD4B6C"/>
    <w:rsid w:val="00FD5199"/>
    <w:rsid w:val="00FD56D2"/>
    <w:rsid w:val="00FD5D27"/>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AE66AF31-2690-45DA-BB1E-09A2C656C7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numbering" w:customStyle="1" w:styleId="Singlepunch">
    <w:name w:val="Single punch"/>
    <w:rsid w:val="004D0A12"/>
    <w:pPr>
      <w:numPr>
        <w:numId w:val="4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98371">
      <w:bodyDiv w:val="1"/>
      <w:marLeft w:val="0"/>
      <w:marRight w:val="0"/>
      <w:marTop w:val="0"/>
      <w:marBottom w:val="0"/>
      <w:divBdr>
        <w:top w:val="none" w:sz="0" w:space="0" w:color="auto"/>
        <w:left w:val="none" w:sz="0" w:space="0" w:color="auto"/>
        <w:bottom w:val="none" w:sz="0" w:space="0" w:color="auto"/>
        <w:right w:val="none" w:sz="0" w:space="0" w:color="auto"/>
      </w:divBdr>
    </w:div>
    <w:div w:id="235211372">
      <w:bodyDiv w:val="1"/>
      <w:marLeft w:val="0"/>
      <w:marRight w:val="0"/>
      <w:marTop w:val="0"/>
      <w:marBottom w:val="0"/>
      <w:divBdr>
        <w:top w:val="none" w:sz="0" w:space="0" w:color="auto"/>
        <w:left w:val="none" w:sz="0" w:space="0" w:color="auto"/>
        <w:bottom w:val="none" w:sz="0" w:space="0" w:color="auto"/>
        <w:right w:val="none" w:sz="0" w:space="0" w:color="auto"/>
      </w:divBdr>
    </w:div>
    <w:div w:id="240988247">
      <w:bodyDiv w:val="1"/>
      <w:marLeft w:val="0"/>
      <w:marRight w:val="0"/>
      <w:marTop w:val="0"/>
      <w:marBottom w:val="0"/>
      <w:divBdr>
        <w:top w:val="none" w:sz="0" w:space="0" w:color="auto"/>
        <w:left w:val="none" w:sz="0" w:space="0" w:color="auto"/>
        <w:bottom w:val="none" w:sz="0" w:space="0" w:color="auto"/>
        <w:right w:val="none" w:sz="0" w:space="0" w:color="auto"/>
      </w:divBdr>
    </w:div>
    <w:div w:id="273178430">
      <w:bodyDiv w:val="1"/>
      <w:marLeft w:val="0"/>
      <w:marRight w:val="0"/>
      <w:marTop w:val="0"/>
      <w:marBottom w:val="0"/>
      <w:divBdr>
        <w:top w:val="none" w:sz="0" w:space="0" w:color="auto"/>
        <w:left w:val="none" w:sz="0" w:space="0" w:color="auto"/>
        <w:bottom w:val="none" w:sz="0" w:space="0" w:color="auto"/>
        <w:right w:val="none" w:sz="0" w:space="0" w:color="auto"/>
      </w:divBdr>
    </w:div>
    <w:div w:id="339747451">
      <w:bodyDiv w:val="1"/>
      <w:marLeft w:val="0"/>
      <w:marRight w:val="0"/>
      <w:marTop w:val="0"/>
      <w:marBottom w:val="0"/>
      <w:divBdr>
        <w:top w:val="none" w:sz="0" w:space="0" w:color="auto"/>
        <w:left w:val="none" w:sz="0" w:space="0" w:color="auto"/>
        <w:bottom w:val="none" w:sz="0" w:space="0" w:color="auto"/>
        <w:right w:val="none" w:sz="0" w:space="0" w:color="auto"/>
      </w:divBdr>
    </w:div>
    <w:div w:id="379137599">
      <w:bodyDiv w:val="1"/>
      <w:marLeft w:val="0"/>
      <w:marRight w:val="0"/>
      <w:marTop w:val="0"/>
      <w:marBottom w:val="0"/>
      <w:divBdr>
        <w:top w:val="none" w:sz="0" w:space="0" w:color="auto"/>
        <w:left w:val="none" w:sz="0" w:space="0" w:color="auto"/>
        <w:bottom w:val="none" w:sz="0" w:space="0" w:color="auto"/>
        <w:right w:val="none" w:sz="0" w:space="0" w:color="auto"/>
      </w:divBdr>
    </w:div>
    <w:div w:id="482089110">
      <w:bodyDiv w:val="1"/>
      <w:marLeft w:val="0"/>
      <w:marRight w:val="0"/>
      <w:marTop w:val="0"/>
      <w:marBottom w:val="0"/>
      <w:divBdr>
        <w:top w:val="none" w:sz="0" w:space="0" w:color="auto"/>
        <w:left w:val="none" w:sz="0" w:space="0" w:color="auto"/>
        <w:bottom w:val="none" w:sz="0" w:space="0" w:color="auto"/>
        <w:right w:val="none" w:sz="0" w:space="0" w:color="auto"/>
      </w:divBdr>
    </w:div>
    <w:div w:id="516624885">
      <w:bodyDiv w:val="1"/>
      <w:marLeft w:val="0"/>
      <w:marRight w:val="0"/>
      <w:marTop w:val="0"/>
      <w:marBottom w:val="0"/>
      <w:divBdr>
        <w:top w:val="none" w:sz="0" w:space="0" w:color="auto"/>
        <w:left w:val="none" w:sz="0" w:space="0" w:color="auto"/>
        <w:bottom w:val="none" w:sz="0" w:space="0" w:color="auto"/>
        <w:right w:val="none" w:sz="0" w:space="0" w:color="auto"/>
      </w:divBdr>
    </w:div>
    <w:div w:id="518660508">
      <w:bodyDiv w:val="1"/>
      <w:marLeft w:val="0"/>
      <w:marRight w:val="0"/>
      <w:marTop w:val="0"/>
      <w:marBottom w:val="0"/>
      <w:divBdr>
        <w:top w:val="none" w:sz="0" w:space="0" w:color="auto"/>
        <w:left w:val="none" w:sz="0" w:space="0" w:color="auto"/>
        <w:bottom w:val="none" w:sz="0" w:space="0" w:color="auto"/>
        <w:right w:val="none" w:sz="0" w:space="0" w:color="auto"/>
      </w:divBdr>
    </w:div>
    <w:div w:id="55293276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2690781">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656292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468800">
      <w:bodyDiv w:val="1"/>
      <w:marLeft w:val="0"/>
      <w:marRight w:val="0"/>
      <w:marTop w:val="0"/>
      <w:marBottom w:val="0"/>
      <w:divBdr>
        <w:top w:val="none" w:sz="0" w:space="0" w:color="auto"/>
        <w:left w:val="none" w:sz="0" w:space="0" w:color="auto"/>
        <w:bottom w:val="none" w:sz="0" w:space="0" w:color="auto"/>
        <w:right w:val="none" w:sz="0" w:space="0" w:color="auto"/>
      </w:divBdr>
    </w:div>
    <w:div w:id="913128336">
      <w:bodyDiv w:val="1"/>
      <w:marLeft w:val="0"/>
      <w:marRight w:val="0"/>
      <w:marTop w:val="0"/>
      <w:marBottom w:val="0"/>
      <w:divBdr>
        <w:top w:val="none" w:sz="0" w:space="0" w:color="auto"/>
        <w:left w:val="none" w:sz="0" w:space="0" w:color="auto"/>
        <w:bottom w:val="none" w:sz="0" w:space="0" w:color="auto"/>
        <w:right w:val="none" w:sz="0" w:space="0" w:color="auto"/>
      </w:divBdr>
    </w:div>
    <w:div w:id="939146359">
      <w:bodyDiv w:val="1"/>
      <w:marLeft w:val="0"/>
      <w:marRight w:val="0"/>
      <w:marTop w:val="0"/>
      <w:marBottom w:val="0"/>
      <w:divBdr>
        <w:top w:val="none" w:sz="0" w:space="0" w:color="auto"/>
        <w:left w:val="none" w:sz="0" w:space="0" w:color="auto"/>
        <w:bottom w:val="none" w:sz="0" w:space="0" w:color="auto"/>
        <w:right w:val="none" w:sz="0" w:space="0" w:color="auto"/>
      </w:divBdr>
    </w:div>
    <w:div w:id="113929763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827826">
      <w:bodyDiv w:val="1"/>
      <w:marLeft w:val="0"/>
      <w:marRight w:val="0"/>
      <w:marTop w:val="0"/>
      <w:marBottom w:val="0"/>
      <w:divBdr>
        <w:top w:val="none" w:sz="0" w:space="0" w:color="auto"/>
        <w:left w:val="none" w:sz="0" w:space="0" w:color="auto"/>
        <w:bottom w:val="none" w:sz="0" w:space="0" w:color="auto"/>
        <w:right w:val="none" w:sz="0" w:space="0" w:color="auto"/>
      </w:divBdr>
    </w:div>
    <w:div w:id="1355570969">
      <w:bodyDiv w:val="1"/>
      <w:marLeft w:val="0"/>
      <w:marRight w:val="0"/>
      <w:marTop w:val="0"/>
      <w:marBottom w:val="0"/>
      <w:divBdr>
        <w:top w:val="none" w:sz="0" w:space="0" w:color="auto"/>
        <w:left w:val="none" w:sz="0" w:space="0" w:color="auto"/>
        <w:bottom w:val="none" w:sz="0" w:space="0" w:color="auto"/>
        <w:right w:val="none" w:sz="0" w:space="0" w:color="auto"/>
      </w:divBdr>
    </w:div>
    <w:div w:id="1428382780">
      <w:bodyDiv w:val="1"/>
      <w:marLeft w:val="0"/>
      <w:marRight w:val="0"/>
      <w:marTop w:val="0"/>
      <w:marBottom w:val="0"/>
      <w:divBdr>
        <w:top w:val="none" w:sz="0" w:space="0" w:color="auto"/>
        <w:left w:val="none" w:sz="0" w:space="0" w:color="auto"/>
        <w:bottom w:val="none" w:sz="0" w:space="0" w:color="auto"/>
        <w:right w:val="none" w:sz="0" w:space="0" w:color="auto"/>
      </w:divBdr>
    </w:div>
    <w:div w:id="1473015592">
      <w:bodyDiv w:val="1"/>
      <w:marLeft w:val="0"/>
      <w:marRight w:val="0"/>
      <w:marTop w:val="0"/>
      <w:marBottom w:val="0"/>
      <w:divBdr>
        <w:top w:val="none" w:sz="0" w:space="0" w:color="auto"/>
        <w:left w:val="none" w:sz="0" w:space="0" w:color="auto"/>
        <w:bottom w:val="none" w:sz="0" w:space="0" w:color="auto"/>
        <w:right w:val="none" w:sz="0" w:space="0" w:color="auto"/>
      </w:divBdr>
    </w:div>
    <w:div w:id="1486509519">
      <w:bodyDiv w:val="1"/>
      <w:marLeft w:val="0"/>
      <w:marRight w:val="0"/>
      <w:marTop w:val="0"/>
      <w:marBottom w:val="0"/>
      <w:divBdr>
        <w:top w:val="none" w:sz="0" w:space="0" w:color="auto"/>
        <w:left w:val="none" w:sz="0" w:space="0" w:color="auto"/>
        <w:bottom w:val="none" w:sz="0" w:space="0" w:color="auto"/>
        <w:right w:val="none" w:sz="0" w:space="0" w:color="auto"/>
      </w:divBdr>
    </w:div>
    <w:div w:id="1491170374">
      <w:bodyDiv w:val="1"/>
      <w:marLeft w:val="0"/>
      <w:marRight w:val="0"/>
      <w:marTop w:val="0"/>
      <w:marBottom w:val="0"/>
      <w:divBdr>
        <w:top w:val="none" w:sz="0" w:space="0" w:color="auto"/>
        <w:left w:val="none" w:sz="0" w:space="0" w:color="auto"/>
        <w:bottom w:val="none" w:sz="0" w:space="0" w:color="auto"/>
        <w:right w:val="none" w:sz="0" w:space="0" w:color="auto"/>
      </w:divBdr>
    </w:div>
    <w:div w:id="1529023098">
      <w:bodyDiv w:val="1"/>
      <w:marLeft w:val="0"/>
      <w:marRight w:val="0"/>
      <w:marTop w:val="0"/>
      <w:marBottom w:val="0"/>
      <w:divBdr>
        <w:top w:val="none" w:sz="0" w:space="0" w:color="auto"/>
        <w:left w:val="none" w:sz="0" w:space="0" w:color="auto"/>
        <w:bottom w:val="none" w:sz="0" w:space="0" w:color="auto"/>
        <w:right w:val="none" w:sz="0" w:space="0" w:color="auto"/>
      </w:divBdr>
    </w:div>
    <w:div w:id="1546941051">
      <w:bodyDiv w:val="1"/>
      <w:marLeft w:val="0"/>
      <w:marRight w:val="0"/>
      <w:marTop w:val="0"/>
      <w:marBottom w:val="0"/>
      <w:divBdr>
        <w:top w:val="none" w:sz="0" w:space="0" w:color="auto"/>
        <w:left w:val="none" w:sz="0" w:space="0" w:color="auto"/>
        <w:bottom w:val="none" w:sz="0" w:space="0" w:color="auto"/>
        <w:right w:val="none" w:sz="0" w:space="0" w:color="auto"/>
      </w:divBdr>
    </w:div>
    <w:div w:id="1635014539">
      <w:bodyDiv w:val="1"/>
      <w:marLeft w:val="0"/>
      <w:marRight w:val="0"/>
      <w:marTop w:val="0"/>
      <w:marBottom w:val="0"/>
      <w:divBdr>
        <w:top w:val="none" w:sz="0" w:space="0" w:color="auto"/>
        <w:left w:val="none" w:sz="0" w:space="0" w:color="auto"/>
        <w:bottom w:val="none" w:sz="0" w:space="0" w:color="auto"/>
        <w:right w:val="none" w:sz="0" w:space="0" w:color="auto"/>
      </w:divBdr>
    </w:div>
    <w:div w:id="1678573610">
      <w:bodyDiv w:val="1"/>
      <w:marLeft w:val="0"/>
      <w:marRight w:val="0"/>
      <w:marTop w:val="0"/>
      <w:marBottom w:val="0"/>
      <w:divBdr>
        <w:top w:val="none" w:sz="0" w:space="0" w:color="auto"/>
        <w:left w:val="none" w:sz="0" w:space="0" w:color="auto"/>
        <w:bottom w:val="none" w:sz="0" w:space="0" w:color="auto"/>
        <w:right w:val="none" w:sz="0" w:space="0" w:color="auto"/>
      </w:divBdr>
    </w:div>
    <w:div w:id="1732264390">
      <w:bodyDiv w:val="1"/>
      <w:marLeft w:val="0"/>
      <w:marRight w:val="0"/>
      <w:marTop w:val="0"/>
      <w:marBottom w:val="0"/>
      <w:divBdr>
        <w:top w:val="none" w:sz="0" w:space="0" w:color="auto"/>
        <w:left w:val="none" w:sz="0" w:space="0" w:color="auto"/>
        <w:bottom w:val="none" w:sz="0" w:space="0" w:color="auto"/>
        <w:right w:val="none" w:sz="0" w:space="0" w:color="auto"/>
      </w:divBdr>
    </w:div>
    <w:div w:id="1739787491">
      <w:bodyDiv w:val="1"/>
      <w:marLeft w:val="0"/>
      <w:marRight w:val="0"/>
      <w:marTop w:val="0"/>
      <w:marBottom w:val="0"/>
      <w:divBdr>
        <w:top w:val="none" w:sz="0" w:space="0" w:color="auto"/>
        <w:left w:val="none" w:sz="0" w:space="0" w:color="auto"/>
        <w:bottom w:val="none" w:sz="0" w:space="0" w:color="auto"/>
        <w:right w:val="none" w:sz="0" w:space="0" w:color="auto"/>
      </w:divBdr>
    </w:div>
    <w:div w:id="1763455720">
      <w:bodyDiv w:val="1"/>
      <w:marLeft w:val="0"/>
      <w:marRight w:val="0"/>
      <w:marTop w:val="0"/>
      <w:marBottom w:val="0"/>
      <w:divBdr>
        <w:top w:val="none" w:sz="0" w:space="0" w:color="auto"/>
        <w:left w:val="none" w:sz="0" w:space="0" w:color="auto"/>
        <w:bottom w:val="none" w:sz="0" w:space="0" w:color="auto"/>
        <w:right w:val="none" w:sz="0" w:space="0" w:color="auto"/>
      </w:divBdr>
    </w:div>
    <w:div w:id="1770084684">
      <w:bodyDiv w:val="1"/>
      <w:marLeft w:val="0"/>
      <w:marRight w:val="0"/>
      <w:marTop w:val="0"/>
      <w:marBottom w:val="0"/>
      <w:divBdr>
        <w:top w:val="none" w:sz="0" w:space="0" w:color="auto"/>
        <w:left w:val="none" w:sz="0" w:space="0" w:color="auto"/>
        <w:bottom w:val="none" w:sz="0" w:space="0" w:color="auto"/>
        <w:right w:val="none" w:sz="0" w:space="0" w:color="auto"/>
      </w:divBdr>
    </w:div>
    <w:div w:id="1790969560">
      <w:bodyDiv w:val="1"/>
      <w:marLeft w:val="0"/>
      <w:marRight w:val="0"/>
      <w:marTop w:val="0"/>
      <w:marBottom w:val="0"/>
      <w:divBdr>
        <w:top w:val="none" w:sz="0" w:space="0" w:color="auto"/>
        <w:left w:val="none" w:sz="0" w:space="0" w:color="auto"/>
        <w:bottom w:val="none" w:sz="0" w:space="0" w:color="auto"/>
        <w:right w:val="none" w:sz="0" w:space="0" w:color="auto"/>
      </w:divBdr>
    </w:div>
    <w:div w:id="179917960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75531331">
      <w:bodyDiv w:val="1"/>
      <w:marLeft w:val="0"/>
      <w:marRight w:val="0"/>
      <w:marTop w:val="0"/>
      <w:marBottom w:val="0"/>
      <w:divBdr>
        <w:top w:val="none" w:sz="0" w:space="0" w:color="auto"/>
        <w:left w:val="none" w:sz="0" w:space="0" w:color="auto"/>
        <w:bottom w:val="none" w:sz="0" w:space="0" w:color="auto"/>
        <w:right w:val="none" w:sz="0" w:space="0" w:color="auto"/>
      </w:divBdr>
    </w:div>
    <w:div w:id="1876574111">
      <w:bodyDiv w:val="1"/>
      <w:marLeft w:val="0"/>
      <w:marRight w:val="0"/>
      <w:marTop w:val="0"/>
      <w:marBottom w:val="0"/>
      <w:divBdr>
        <w:top w:val="none" w:sz="0" w:space="0" w:color="auto"/>
        <w:left w:val="none" w:sz="0" w:space="0" w:color="auto"/>
        <w:bottom w:val="none" w:sz="0" w:space="0" w:color="auto"/>
        <w:right w:val="none" w:sz="0" w:space="0" w:color="auto"/>
      </w:divBdr>
    </w:div>
    <w:div w:id="2005887197">
      <w:bodyDiv w:val="1"/>
      <w:marLeft w:val="0"/>
      <w:marRight w:val="0"/>
      <w:marTop w:val="0"/>
      <w:marBottom w:val="0"/>
      <w:divBdr>
        <w:top w:val="none" w:sz="0" w:space="0" w:color="auto"/>
        <w:left w:val="none" w:sz="0" w:space="0" w:color="auto"/>
        <w:bottom w:val="none" w:sz="0" w:space="0" w:color="auto"/>
        <w:right w:val="none" w:sz="0" w:space="0" w:color="auto"/>
      </w:divBdr>
    </w:div>
    <w:div w:id="202775179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9806">
      <w:bodyDiv w:val="1"/>
      <w:marLeft w:val="0"/>
      <w:marRight w:val="0"/>
      <w:marTop w:val="0"/>
      <w:marBottom w:val="0"/>
      <w:divBdr>
        <w:top w:val="none" w:sz="0" w:space="0" w:color="auto"/>
        <w:left w:val="none" w:sz="0" w:space="0" w:color="auto"/>
        <w:bottom w:val="none" w:sz="0" w:space="0" w:color="auto"/>
        <w:right w:val="none" w:sz="0" w:space="0" w:color="auto"/>
      </w:divBdr>
    </w:div>
    <w:div w:id="2099978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62930/https://www.recregistryindia.nic.in/pdf/REC_Regulation/Renewable_Purchase_Obligation_and_Energy_Storage_Obligation_Trajectory_till_2029_30.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08165407/https://merc.gov.in/wp-content/uploads/2025/06/Order-in-Case-No-2-SM-2024.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62550/https://cercind.gov.in/2018/whatsnew/Tariff_Policy-Resolution_Dated_28012016.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8165113/https://www.derc.gov.in/sites/default/files/Order%20Petition%20No.%2021_2020%20-%2027.09.2021_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08163127/https://beeindia.gov.in/en/programmes/renewable-consumption-obligations-rco"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TotalTime>
  <Pages>97</Pages>
  <Words>23932</Words>
  <Characters>136419</Characters>
  <Application>Microsoft Office Word</Application>
  <DocSecurity>0</DocSecurity>
  <Lines>1136</Lines>
  <Paragraphs>320</Paragraphs>
  <ScaleCrop>false</ScaleCrop>
  <Company/>
  <LinksUpToDate>false</LinksUpToDate>
  <CharactersWithSpaces>160031</CharactersWithSpaces>
  <SharedDoc>false</SharedDoc>
  <HLinks>
    <vt:vector size="366" baseType="variant">
      <vt:variant>
        <vt:i4>4784199</vt:i4>
      </vt:variant>
      <vt:variant>
        <vt:i4>342</vt:i4>
      </vt:variant>
      <vt:variant>
        <vt:i4>0</vt:i4>
      </vt:variant>
      <vt:variant>
        <vt:i4>5</vt:i4>
      </vt:variant>
      <vt:variant>
        <vt:lpwstr>https://www.fsb.org/uploads/P131022-1.pdf</vt:lpwstr>
      </vt:variant>
      <vt:variant>
        <vt:lpwstr/>
      </vt:variant>
      <vt:variant>
        <vt:i4>7012469</vt:i4>
      </vt:variant>
      <vt:variant>
        <vt:i4>339</vt:i4>
      </vt:variant>
      <vt:variant>
        <vt:i4>0</vt:i4>
      </vt:variant>
      <vt:variant>
        <vt:i4>5</vt:i4>
      </vt:variant>
      <vt:variant>
        <vt:lpwstr>https://www.bis.org/fsi/fsibriefs18.pdf</vt:lpwstr>
      </vt:variant>
      <vt:variant>
        <vt:lpwstr/>
      </vt:variant>
      <vt:variant>
        <vt:i4>1376291</vt:i4>
      </vt:variant>
      <vt:variant>
        <vt:i4>336</vt:i4>
      </vt:variant>
      <vt:variant>
        <vt:i4>0</vt:i4>
      </vt:variant>
      <vt:variant>
        <vt:i4>5</vt:i4>
      </vt:variant>
      <vt:variant>
        <vt:lpwstr/>
      </vt:variant>
      <vt:variant>
        <vt:lpwstr>_Section_5.2.3:_Capital</vt:lpwstr>
      </vt:variant>
      <vt:variant>
        <vt:i4>7143514</vt:i4>
      </vt:variant>
      <vt:variant>
        <vt:i4>333</vt:i4>
      </vt:variant>
      <vt:variant>
        <vt:i4>0</vt:i4>
      </vt:variant>
      <vt:variant>
        <vt:i4>5</vt:i4>
      </vt:variant>
      <vt:variant>
        <vt:lpwstr/>
      </vt:variant>
      <vt:variant>
        <vt:lpwstr>_Section_5.2.2:_Scenario</vt:lpwstr>
      </vt:variant>
      <vt:variant>
        <vt:i4>8126533</vt:i4>
      </vt:variant>
      <vt:variant>
        <vt:i4>330</vt:i4>
      </vt:variant>
      <vt:variant>
        <vt:i4>0</vt:i4>
      </vt:variant>
      <vt:variant>
        <vt:i4>5</vt:i4>
      </vt:variant>
      <vt:variant>
        <vt:lpwstr/>
      </vt:variant>
      <vt:variant>
        <vt:lpwstr>_Section_5.2.1:_Risk</vt:lpwstr>
      </vt:variant>
      <vt:variant>
        <vt:i4>6750276</vt:i4>
      </vt:variant>
      <vt:variant>
        <vt:i4>327</vt:i4>
      </vt:variant>
      <vt:variant>
        <vt:i4>0</vt:i4>
      </vt:variant>
      <vt:variant>
        <vt:i4>5</vt:i4>
      </vt:variant>
      <vt:variant>
        <vt:lpwstr/>
      </vt:variant>
      <vt:variant>
        <vt:lpwstr>_Section_4.4.4:_Exchange</vt:lpwstr>
      </vt:variant>
      <vt:variant>
        <vt:i4>6553680</vt:i4>
      </vt:variant>
      <vt:variant>
        <vt:i4>324</vt:i4>
      </vt:variant>
      <vt:variant>
        <vt:i4>0</vt:i4>
      </vt:variant>
      <vt:variant>
        <vt:i4>5</vt:i4>
      </vt:variant>
      <vt:variant>
        <vt:lpwstr/>
      </vt:variant>
      <vt:variant>
        <vt:lpwstr>_Section_4.4.3:_Operationalizing</vt:lpwstr>
      </vt:variant>
      <vt:variant>
        <vt:i4>1507386</vt:i4>
      </vt:variant>
      <vt:variant>
        <vt:i4>321</vt:i4>
      </vt:variant>
      <vt:variant>
        <vt:i4>0</vt:i4>
      </vt:variant>
      <vt:variant>
        <vt:i4>5</vt:i4>
      </vt:variant>
      <vt:variant>
        <vt:lpwstr/>
      </vt:variant>
      <vt:variant>
        <vt:lpwstr>_Section_4.4.2:_Carbon</vt:lpwstr>
      </vt:variant>
      <vt:variant>
        <vt:i4>7077954</vt:i4>
      </vt:variant>
      <vt:variant>
        <vt:i4>318</vt:i4>
      </vt:variant>
      <vt:variant>
        <vt:i4>0</vt:i4>
      </vt:variant>
      <vt:variant>
        <vt:i4>5</vt:i4>
      </vt:variant>
      <vt:variant>
        <vt:lpwstr/>
      </vt:variant>
      <vt:variant>
        <vt:lpwstr>_Section_4.4.1:_Criteria</vt:lpwstr>
      </vt:variant>
      <vt:variant>
        <vt:i4>2490486</vt:i4>
      </vt:variant>
      <vt:variant>
        <vt:i4>297</vt:i4>
      </vt:variant>
      <vt:variant>
        <vt:i4>0</vt:i4>
      </vt:variant>
      <vt:variant>
        <vt:i4>5</vt:i4>
      </vt:variant>
      <vt:variant>
        <vt:lpwstr>https://web.archive.org/web/20250708163127/https://beeindia.gov.in/en/programmes/renewable-consumption-obligations-rco</vt:lpwstr>
      </vt:variant>
      <vt:variant>
        <vt:lpwstr/>
      </vt:variant>
      <vt:variant>
        <vt:i4>7733338</vt:i4>
      </vt:variant>
      <vt:variant>
        <vt:i4>294</vt:i4>
      </vt:variant>
      <vt:variant>
        <vt:i4>0</vt:i4>
      </vt:variant>
      <vt:variant>
        <vt:i4>5</vt:i4>
      </vt:variant>
      <vt:variant>
        <vt:lpwstr>https://web.archive.org/web/20250708162930/https://www.recregistryindia.nic.in/pdf/REC_Regulation/Renewable_Purchase_Obligation_and_Energy_Storage_Obligation_Trajectory_till_2029_30.pdf</vt:lpwstr>
      </vt:variant>
      <vt:variant>
        <vt:lpwstr/>
      </vt:variant>
      <vt:variant>
        <vt:i4>6357059</vt:i4>
      </vt:variant>
      <vt:variant>
        <vt:i4>291</vt:i4>
      </vt:variant>
      <vt:variant>
        <vt:i4>0</vt:i4>
      </vt:variant>
      <vt:variant>
        <vt:i4>5</vt:i4>
      </vt:variant>
      <vt:variant>
        <vt:lpwstr>https://web.archive.org/web/20250708162550/https://cercind.gov.in/2018/whatsnew/Tariff_Policy-Resolution_Dated_28012016.pdf</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Vihaan Pathak</cp:lastModifiedBy>
  <cp:revision>69</cp:revision>
  <cp:lastPrinted>2025-03-21T12:44:00Z</cp:lastPrinted>
  <dcterms:created xsi:type="dcterms:W3CDTF">2025-06-23T23:17:00Z</dcterms:created>
  <dcterms:modified xsi:type="dcterms:W3CDTF">2025-07-08T16:57:00Z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